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5D" w:rsidRPr="00EB253F" w:rsidRDefault="0019475D" w:rsidP="001947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460489209"/>
      <w:bookmarkStart w:id="1" w:name="_Toc461605387"/>
      <w:bookmarkStart w:id="2" w:name="_Toc461615129"/>
      <w:bookmarkStart w:id="3" w:name="_Toc461615146"/>
      <w:bookmarkStart w:id="4" w:name="_Toc461617285"/>
      <w:bookmarkStart w:id="5" w:name="_Toc461617386"/>
      <w:bookmarkStart w:id="6" w:name="_Toc468129265"/>
      <w:bookmarkStart w:id="7" w:name="_Toc460489212"/>
      <w:r w:rsidRPr="00EB253F">
        <w:rPr>
          <w:rFonts w:ascii="Times New Roman" w:hAnsi="Times New Roman"/>
          <w:iCs/>
          <w:sz w:val="28"/>
          <w:szCs w:val="28"/>
        </w:rPr>
        <w:t>Приложение 1</w:t>
      </w:r>
    </w:p>
    <w:p w:rsidR="0019475D" w:rsidRPr="00EB253F" w:rsidRDefault="0019475D" w:rsidP="001947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_Toc468129262"/>
      <w:bookmarkStart w:id="9" w:name="_Toc431221225"/>
    </w:p>
    <w:p w:rsidR="0019475D" w:rsidRPr="00EB253F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color w:val="000000"/>
          <w:sz w:val="28"/>
          <w:szCs w:val="28"/>
        </w:rPr>
        <w:t>НАЦИОНАЛЬНАЯ СТРАТЕГИЯ ПО НЕПОДКУПНОСТИ</w:t>
      </w:r>
      <w:r w:rsidRPr="00EB253F">
        <w:rPr>
          <w:rFonts w:ascii="Times New Roman" w:hAnsi="Times New Roman"/>
          <w:color w:val="000000"/>
          <w:sz w:val="28"/>
          <w:szCs w:val="28"/>
        </w:rPr>
        <w:br/>
        <w:t>И БОРЬБЕ С КОРРУПЦИЕЙ НА 2017–2020 ГОДЫ</w:t>
      </w:r>
    </w:p>
    <w:p w:rsidR="0019475D" w:rsidRPr="003C3BB7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color w:val="002060"/>
          <w:sz w:val="20"/>
          <w:szCs w:val="20"/>
        </w:rPr>
      </w:pPr>
      <w:bookmarkStart w:id="10" w:name="_Toc460489208"/>
      <w:bookmarkStart w:id="11" w:name="_Toc461605383"/>
      <w:bookmarkStart w:id="12" w:name="_Toc461615128"/>
      <w:bookmarkStart w:id="13" w:name="_Toc461615145"/>
      <w:bookmarkStart w:id="14" w:name="_Toc461617284"/>
      <w:bookmarkStart w:id="15" w:name="_Toc461617385"/>
      <w:bookmarkStart w:id="16" w:name="_Toc468129263"/>
      <w:bookmarkEnd w:id="8"/>
    </w:p>
    <w:p w:rsidR="0019475D" w:rsidRPr="00EB253F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Раздел I</w:t>
      </w:r>
    </w:p>
    <w:p w:rsidR="0019475D" w:rsidRPr="00EB253F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ПОЛОЖЕНИЕ ДЕЛ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19475D" w:rsidRPr="003C3BB7" w:rsidRDefault="0019475D" w:rsidP="0019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proofErr w:type="gramStart"/>
      <w:r w:rsidRPr="00EB253F">
        <w:rPr>
          <w:rFonts w:ascii="Times New Roman" w:hAnsi="Times New Roman"/>
          <w:sz w:val="28"/>
          <w:szCs w:val="28"/>
        </w:rPr>
        <w:t xml:space="preserve">Соглашение об ассоциации между Республикой Молдова, с одной стороны, и </w:t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Европейским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оюзом и Европейским сообществом по атомной энергии и их государствами-членами, с другой стороны, ратифицированное Парламентом Республики Молдова Законом № 112/2014, предусматривает необходимость осуществления важных внутренних реформ, </w:t>
      </w:r>
      <w:r w:rsidRPr="00EB253F">
        <w:rPr>
          <w:rFonts w:ascii="Times New Roman" w:hAnsi="Times New Roman"/>
          <w:sz w:val="28"/>
          <w:szCs w:val="28"/>
        </w:rPr>
        <w:t>обеспечение эффе</w:t>
      </w:r>
      <w:r w:rsidRPr="00EB253F">
        <w:rPr>
          <w:rFonts w:ascii="Times New Roman" w:hAnsi="Times New Roman"/>
          <w:sz w:val="28"/>
          <w:szCs w:val="28"/>
        </w:rPr>
        <w:t>к</w:t>
      </w:r>
      <w:r w:rsidRPr="00EB253F">
        <w:rPr>
          <w:rFonts w:ascii="Times New Roman" w:hAnsi="Times New Roman"/>
          <w:sz w:val="28"/>
          <w:szCs w:val="28"/>
        </w:rPr>
        <w:t>тивности в борьбе с коррупцией, в частности в целях усиления международн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го сотрудничества по борьбе с коррупцией и обеспечения эффективного выполн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ния соответствующих международных</w:t>
      </w:r>
      <w:proofErr w:type="gramEnd"/>
      <w:r w:rsidRPr="00EB253F">
        <w:rPr>
          <w:rFonts w:ascii="Times New Roman" w:hAnsi="Times New Roman"/>
          <w:sz w:val="28"/>
          <w:szCs w:val="28"/>
        </w:rPr>
        <w:t xml:space="preserve"> юридических документов, таких как Конвенция Организации Объединенных Наций против коррупции 2003 г</w:t>
      </w:r>
      <w:r>
        <w:rPr>
          <w:rFonts w:ascii="Times New Roman" w:hAnsi="Times New Roman"/>
          <w:sz w:val="28"/>
          <w:szCs w:val="28"/>
        </w:rPr>
        <w:t>ода</w:t>
      </w:r>
      <w:r w:rsidRPr="00EB253F">
        <w:rPr>
          <w:rFonts w:ascii="Times New Roman" w:hAnsi="Times New Roman"/>
          <w:sz w:val="28"/>
          <w:szCs w:val="28"/>
        </w:rPr>
        <w:t xml:space="preserve"> (пункт е) статьи 4 Соглашения). Статья 16 указанного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EB253F">
        <w:rPr>
          <w:rFonts w:ascii="Times New Roman" w:hAnsi="Times New Roman"/>
          <w:sz w:val="28"/>
          <w:szCs w:val="28"/>
        </w:rPr>
        <w:t xml:space="preserve"> пред</w:t>
      </w:r>
      <w:r w:rsidRPr="00EB253F">
        <w:rPr>
          <w:rFonts w:ascii="Times New Roman" w:hAnsi="Times New Roman"/>
          <w:sz w:val="28"/>
          <w:szCs w:val="28"/>
        </w:rPr>
        <w:t>у</w:t>
      </w:r>
      <w:r w:rsidRPr="00EB253F">
        <w:rPr>
          <w:rFonts w:ascii="Times New Roman" w:hAnsi="Times New Roman"/>
          <w:sz w:val="28"/>
          <w:szCs w:val="28"/>
        </w:rPr>
        <w:t xml:space="preserve">сматривает, что </w:t>
      </w:r>
      <w:r>
        <w:rPr>
          <w:rFonts w:ascii="Times New Roman" w:hAnsi="Times New Roman"/>
          <w:sz w:val="28"/>
          <w:szCs w:val="28"/>
        </w:rPr>
        <w:t>с</w:t>
      </w:r>
      <w:r w:rsidRPr="00EB253F">
        <w:rPr>
          <w:rFonts w:ascii="Times New Roman" w:hAnsi="Times New Roman"/>
          <w:sz w:val="28"/>
          <w:szCs w:val="28"/>
        </w:rPr>
        <w:t>тороны должны сотрудничать в области предупреждения о</w:t>
      </w:r>
      <w:r w:rsidRPr="00EB253F">
        <w:rPr>
          <w:rFonts w:ascii="Times New Roman" w:hAnsi="Times New Roman"/>
          <w:sz w:val="28"/>
          <w:szCs w:val="28"/>
        </w:rPr>
        <w:t>р</w:t>
      </w:r>
      <w:r w:rsidRPr="00EB253F">
        <w:rPr>
          <w:rFonts w:ascii="Times New Roman" w:hAnsi="Times New Roman"/>
          <w:sz w:val="28"/>
          <w:szCs w:val="28"/>
        </w:rPr>
        <w:t>ганизованной преступности, коррупции и прочей незаконной деятельности, ос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бенно</w:t>
      </w:r>
      <w:r>
        <w:rPr>
          <w:rFonts w:ascii="Times New Roman" w:hAnsi="Times New Roman"/>
          <w:sz w:val="28"/>
          <w:szCs w:val="28"/>
        </w:rPr>
        <w:t xml:space="preserve"> в том, что </w:t>
      </w:r>
      <w:r w:rsidRPr="00EB253F">
        <w:rPr>
          <w:rFonts w:ascii="Times New Roman" w:hAnsi="Times New Roman"/>
          <w:sz w:val="28"/>
          <w:szCs w:val="28"/>
        </w:rPr>
        <w:t>каса</w:t>
      </w:r>
      <w:r>
        <w:rPr>
          <w:rFonts w:ascii="Times New Roman" w:hAnsi="Times New Roman"/>
          <w:sz w:val="28"/>
          <w:szCs w:val="28"/>
        </w:rPr>
        <w:t>ет</w:t>
      </w:r>
      <w:r w:rsidRPr="00EB253F">
        <w:rPr>
          <w:rFonts w:ascii="Times New Roman" w:hAnsi="Times New Roman"/>
          <w:sz w:val="28"/>
          <w:szCs w:val="28"/>
        </w:rPr>
        <w:t xml:space="preserve">ся активной и пассивной </w:t>
      </w:r>
      <w:proofErr w:type="gramStart"/>
      <w:r w:rsidRPr="00EB253F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EB253F">
        <w:rPr>
          <w:rFonts w:ascii="Times New Roman" w:hAnsi="Times New Roman"/>
          <w:sz w:val="28"/>
          <w:szCs w:val="28"/>
        </w:rPr>
        <w:t xml:space="preserve"> как в частном, так и в государственном секторах, злоупотребления </w:t>
      </w:r>
      <w:r>
        <w:rPr>
          <w:rFonts w:ascii="Times New Roman" w:hAnsi="Times New Roman"/>
          <w:sz w:val="28"/>
          <w:szCs w:val="28"/>
        </w:rPr>
        <w:t>функциональными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занностями</w:t>
      </w:r>
      <w:r w:rsidRPr="00EB253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извлечения выгоды из</w:t>
      </w:r>
      <w:r w:rsidRPr="00EB253F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я</w:t>
      </w:r>
      <w:r w:rsidRPr="00EB253F">
        <w:rPr>
          <w:rFonts w:ascii="Times New Roman" w:hAnsi="Times New Roman"/>
          <w:sz w:val="28"/>
          <w:szCs w:val="28"/>
        </w:rPr>
        <w:t>, и борьбы с этими я</w:t>
      </w:r>
      <w:r w:rsidRPr="00EB253F">
        <w:rPr>
          <w:rFonts w:ascii="Times New Roman" w:hAnsi="Times New Roman"/>
          <w:sz w:val="28"/>
          <w:szCs w:val="28"/>
        </w:rPr>
        <w:t>в</w:t>
      </w:r>
      <w:r w:rsidRPr="00EB253F">
        <w:rPr>
          <w:rFonts w:ascii="Times New Roman" w:hAnsi="Times New Roman"/>
          <w:sz w:val="28"/>
          <w:szCs w:val="28"/>
        </w:rPr>
        <w:t>лениями.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r w:rsidRPr="00EB253F">
        <w:rPr>
          <w:rFonts w:ascii="Times New Roman" w:eastAsia="Adobe Fangsong Std R" w:hAnsi="Times New Roman"/>
          <w:sz w:val="28"/>
          <w:szCs w:val="28"/>
        </w:rPr>
        <w:t>Дорожная карта</w:t>
      </w:r>
      <w:r w:rsidRPr="00EB253F">
        <w:rPr>
          <w:rStyle w:val="FootnoteReference"/>
          <w:rFonts w:ascii="Times New Roman" w:eastAsia="Adobe Fangsong Std R" w:hAnsi="Times New Roman"/>
          <w:sz w:val="28"/>
          <w:szCs w:val="28"/>
        </w:rPr>
        <w:footnoteReference w:id="1"/>
      </w:r>
      <w:r w:rsidRPr="00EB253F">
        <w:rPr>
          <w:rFonts w:ascii="Times New Roman" w:eastAsia="Adobe Fangsong Std R" w:hAnsi="Times New Roman"/>
          <w:sz w:val="28"/>
          <w:szCs w:val="28"/>
        </w:rPr>
        <w:t>, принятая органами власти Республики Молдова в 2016 год</w:t>
      </w:r>
      <w:r>
        <w:rPr>
          <w:rFonts w:ascii="Times New Roman" w:eastAsia="Adobe Fangsong Std R" w:hAnsi="Times New Roman"/>
          <w:sz w:val="28"/>
          <w:szCs w:val="28"/>
        </w:rPr>
        <w:t>у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с целью устранения </w:t>
      </w:r>
      <w:r>
        <w:rPr>
          <w:rFonts w:ascii="Times New Roman" w:eastAsia="Adobe Fangsong Std R" w:hAnsi="Times New Roman"/>
          <w:sz w:val="28"/>
          <w:szCs w:val="28"/>
        </w:rPr>
        <w:t>отставания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в реализации Соглашения об асс</w:t>
      </w:r>
      <w:r w:rsidRPr="00EB253F">
        <w:rPr>
          <w:rFonts w:ascii="Times New Roman" w:eastAsia="Adobe Fangsong Std R" w:hAnsi="Times New Roman"/>
          <w:sz w:val="28"/>
          <w:szCs w:val="28"/>
        </w:rPr>
        <w:t>о</w:t>
      </w:r>
      <w:r w:rsidRPr="00EB253F">
        <w:rPr>
          <w:rFonts w:ascii="Times New Roman" w:eastAsia="Adobe Fangsong Std R" w:hAnsi="Times New Roman"/>
          <w:sz w:val="28"/>
          <w:szCs w:val="28"/>
        </w:rPr>
        <w:t>циации, среди принятых обязатель</w:t>
      </w:r>
      <w:proofErr w:type="gramStart"/>
      <w:r w:rsidRPr="00EB253F">
        <w:rPr>
          <w:rFonts w:ascii="Times New Roman" w:eastAsia="Adobe Fangsong Std R" w:hAnsi="Times New Roman"/>
          <w:sz w:val="28"/>
          <w:szCs w:val="28"/>
        </w:rPr>
        <w:t xml:space="preserve">ств </w:t>
      </w:r>
      <w:r>
        <w:rPr>
          <w:rFonts w:ascii="Times New Roman" w:eastAsia="Adobe Fangsong Std R" w:hAnsi="Times New Roman"/>
          <w:sz w:val="28"/>
          <w:szCs w:val="28"/>
        </w:rPr>
        <w:t>пр</w:t>
      </w:r>
      <w:proofErr w:type="gramEnd"/>
      <w:r>
        <w:rPr>
          <w:rFonts w:ascii="Times New Roman" w:eastAsia="Adobe Fangsong Std R" w:hAnsi="Times New Roman"/>
          <w:sz w:val="28"/>
          <w:szCs w:val="28"/>
        </w:rPr>
        <w:t>едусматривает также</w:t>
      </w:r>
      <w:r w:rsidRPr="00EB253F">
        <w:rPr>
          <w:rFonts w:ascii="Times New Roman" w:eastAsia="Adobe Fangsong Std R" w:hAnsi="Times New Roman"/>
          <w:sz w:val="28"/>
          <w:szCs w:val="28"/>
        </w:rPr>
        <w:t>: «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Укрепление стабил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ь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ности, независимости и эффективности учреждений, гарантирующих с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о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блюдение принципов демократии и правового государства посредством [...] борьбы с ко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р</w:t>
      </w:r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рупцией</w:t>
      </w:r>
      <w:proofErr w:type="gramStart"/>
      <w:r w:rsidRPr="00EB253F">
        <w:rPr>
          <w:rFonts w:ascii="Times New Roman" w:eastAsia="Adobe Fangsong Std R" w:hAnsi="Times New Roman"/>
          <w:i/>
          <w:iCs/>
          <w:sz w:val="28"/>
          <w:szCs w:val="28"/>
        </w:rPr>
        <w:t>.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». </w:t>
      </w:r>
      <w:proofErr w:type="gramEnd"/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7" w:name="_Toc461605384"/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i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Одним из приоритетов Национальной стратегии развития «Молдова–2020»: 8 решений для экономического роста и снижения уровня бедности, утвержденной Законом № 166/2012, является: «</w:t>
      </w:r>
      <w:r w:rsidRPr="00EB253F">
        <w:rPr>
          <w:rFonts w:ascii="Times New Roman" w:hAnsi="Times New Roman"/>
          <w:i/>
          <w:iCs/>
          <w:sz w:val="28"/>
          <w:szCs w:val="28"/>
        </w:rPr>
        <w:t>повышение качества и эффе</w:t>
      </w:r>
      <w:r w:rsidRPr="00EB253F">
        <w:rPr>
          <w:rFonts w:ascii="Times New Roman" w:hAnsi="Times New Roman"/>
          <w:i/>
          <w:iCs/>
          <w:sz w:val="28"/>
          <w:szCs w:val="28"/>
        </w:rPr>
        <w:t>к</w:t>
      </w:r>
      <w:r w:rsidRPr="00EB253F">
        <w:rPr>
          <w:rFonts w:ascii="Times New Roman" w:hAnsi="Times New Roman"/>
          <w:i/>
          <w:iCs/>
          <w:sz w:val="28"/>
          <w:szCs w:val="28"/>
        </w:rPr>
        <w:t>тивности правосудия и борьба с коррупцией в целях обеспечения равного д</w:t>
      </w:r>
      <w:r w:rsidRPr="00EB253F">
        <w:rPr>
          <w:rFonts w:ascii="Times New Roman" w:hAnsi="Times New Roman"/>
          <w:i/>
          <w:iCs/>
          <w:sz w:val="28"/>
          <w:szCs w:val="28"/>
        </w:rPr>
        <w:t>о</w:t>
      </w:r>
      <w:r w:rsidRPr="00EB253F">
        <w:rPr>
          <w:rFonts w:ascii="Times New Roman" w:hAnsi="Times New Roman"/>
          <w:i/>
          <w:iCs/>
          <w:sz w:val="28"/>
          <w:szCs w:val="28"/>
        </w:rPr>
        <w:t>ступа всех граждан к общественным благам</w:t>
      </w:r>
      <w:proofErr w:type="gramStart"/>
      <w:r w:rsidRPr="00EB253F">
        <w:rPr>
          <w:rFonts w:ascii="Times New Roman" w:hAnsi="Times New Roman"/>
          <w:sz w:val="28"/>
          <w:szCs w:val="28"/>
        </w:rPr>
        <w:t>.</w:t>
      </w:r>
      <w:bookmarkEnd w:id="17"/>
      <w:r w:rsidRPr="00EB253F">
        <w:rPr>
          <w:rFonts w:ascii="Times New Roman" w:hAnsi="Times New Roman"/>
          <w:sz w:val="28"/>
          <w:szCs w:val="28"/>
        </w:rPr>
        <w:t>».</w:t>
      </w:r>
      <w:proofErr w:type="gramEnd"/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0"/>
          <w:szCs w:val="20"/>
        </w:rPr>
      </w:pP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Р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ост благосостояния, безопасности и качества жизни </w:t>
      </w:r>
      <w:r>
        <w:rPr>
          <w:rFonts w:ascii="Times New Roman" w:eastAsia="Adobe Fangsong Std R" w:hAnsi="Times New Roman"/>
          <w:sz w:val="28"/>
          <w:szCs w:val="28"/>
        </w:rPr>
        <w:t>граждан, как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о</w:t>
      </w:r>
      <w:r w:rsidRPr="00EB253F">
        <w:rPr>
          <w:rFonts w:ascii="Times New Roman" w:eastAsia="Adobe Fangsong Std R" w:hAnsi="Times New Roman"/>
          <w:sz w:val="28"/>
          <w:szCs w:val="28"/>
        </w:rPr>
        <w:t>с</w:t>
      </w:r>
      <w:r w:rsidRPr="00EB253F">
        <w:rPr>
          <w:rFonts w:ascii="Times New Roman" w:eastAsia="Adobe Fangsong Std R" w:hAnsi="Times New Roman"/>
          <w:sz w:val="28"/>
          <w:szCs w:val="28"/>
        </w:rPr>
        <w:t>новн</w:t>
      </w:r>
      <w:r>
        <w:rPr>
          <w:rFonts w:ascii="Times New Roman" w:eastAsia="Adobe Fangsong Std R" w:hAnsi="Times New Roman"/>
          <w:sz w:val="28"/>
          <w:szCs w:val="28"/>
        </w:rPr>
        <w:t>ая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цел</w:t>
      </w:r>
      <w:r>
        <w:rPr>
          <w:rFonts w:ascii="Times New Roman" w:eastAsia="Adobe Fangsong Std R" w:hAnsi="Times New Roman"/>
          <w:sz w:val="28"/>
          <w:szCs w:val="28"/>
        </w:rPr>
        <w:t>ь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Программы деятельности Правительства Республики Молдова на 2016–2018 годы будет </w:t>
      </w:r>
      <w:proofErr w:type="gramStart"/>
      <w:r w:rsidRPr="00EB253F">
        <w:rPr>
          <w:rFonts w:ascii="Times New Roman" w:eastAsia="Adobe Fangsong Std R" w:hAnsi="Times New Roman"/>
          <w:sz w:val="28"/>
          <w:szCs w:val="28"/>
        </w:rPr>
        <w:t>достигнута</w:t>
      </w:r>
      <w:proofErr w:type="gramEnd"/>
      <w:r w:rsidRPr="00EB253F">
        <w:rPr>
          <w:rFonts w:ascii="Times New Roman" w:eastAsia="Adobe Fangsong Std R" w:hAnsi="Times New Roman"/>
          <w:sz w:val="28"/>
          <w:szCs w:val="28"/>
        </w:rPr>
        <w:t xml:space="preserve"> </w:t>
      </w:r>
      <w:r>
        <w:rPr>
          <w:rFonts w:ascii="Times New Roman" w:eastAsia="Adobe Fangsong Std R" w:hAnsi="Times New Roman"/>
          <w:sz w:val="28"/>
          <w:szCs w:val="28"/>
        </w:rPr>
        <w:t>в том числе искоренением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коррупции и гарант</w:t>
      </w:r>
      <w:r w:rsidRPr="00EB253F">
        <w:rPr>
          <w:rFonts w:ascii="Times New Roman" w:eastAsia="Adobe Fangsong Std R" w:hAnsi="Times New Roman"/>
          <w:sz w:val="28"/>
          <w:szCs w:val="28"/>
        </w:rPr>
        <w:t>и</w:t>
      </w:r>
      <w:r w:rsidRPr="00EB253F">
        <w:rPr>
          <w:rFonts w:ascii="Times New Roman" w:eastAsia="Adobe Fangsong Std R" w:hAnsi="Times New Roman"/>
          <w:sz w:val="28"/>
          <w:szCs w:val="28"/>
        </w:rPr>
        <w:t>ровани</w:t>
      </w:r>
      <w:r>
        <w:rPr>
          <w:rFonts w:ascii="Times New Roman" w:eastAsia="Adobe Fangsong Std R" w:hAnsi="Times New Roman"/>
          <w:sz w:val="28"/>
          <w:szCs w:val="28"/>
        </w:rPr>
        <w:t>ем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верховенства закона. Борьба с коррупцией является одним из </w:t>
      </w:r>
      <w:r w:rsidRPr="00EB253F">
        <w:rPr>
          <w:rFonts w:ascii="Times New Roman" w:eastAsia="Adobe Fangsong Std R" w:hAnsi="Times New Roman"/>
          <w:sz w:val="28"/>
          <w:szCs w:val="28"/>
        </w:rPr>
        <w:lastRenderedPageBreak/>
        <w:t>основных приоритетов программы правления</w:t>
      </w:r>
      <w:r>
        <w:rPr>
          <w:rFonts w:ascii="Times New Roman" w:eastAsia="Adobe Fangsong Std R" w:hAnsi="Times New Roman"/>
          <w:sz w:val="28"/>
          <w:szCs w:val="28"/>
        </w:rPr>
        <w:t>,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предусматрива</w:t>
      </w:r>
      <w:r>
        <w:rPr>
          <w:rFonts w:ascii="Times New Roman" w:eastAsia="Adobe Fangsong Std R" w:hAnsi="Times New Roman"/>
          <w:sz w:val="28"/>
          <w:szCs w:val="28"/>
        </w:rPr>
        <w:t>ющей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ряд </w:t>
      </w:r>
      <w:r>
        <w:rPr>
          <w:rFonts w:ascii="Times New Roman" w:eastAsia="Adobe Fangsong Std R" w:hAnsi="Times New Roman"/>
          <w:sz w:val="28"/>
          <w:szCs w:val="28"/>
        </w:rPr>
        <w:t xml:space="preserve">     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комплексных мер </w:t>
      </w:r>
      <w:r>
        <w:rPr>
          <w:rFonts w:ascii="Times New Roman" w:eastAsia="Adobe Fangsong Std R" w:hAnsi="Times New Roman"/>
          <w:sz w:val="28"/>
          <w:szCs w:val="28"/>
        </w:rPr>
        <w:t>в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следующих уязвимых областях: антикоррупционная пол</w:t>
      </w:r>
      <w:r w:rsidRPr="00EB253F">
        <w:rPr>
          <w:rFonts w:ascii="Times New Roman" w:eastAsia="Adobe Fangsong Std R" w:hAnsi="Times New Roman"/>
          <w:sz w:val="28"/>
          <w:szCs w:val="28"/>
        </w:rPr>
        <w:t>и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тика, независимость и эффективность учреждений; </w:t>
      </w:r>
      <w:proofErr w:type="gramStart"/>
      <w:r w:rsidRPr="00EB253F">
        <w:rPr>
          <w:rFonts w:ascii="Times New Roman" w:eastAsia="Adobe Fangsong Std R" w:hAnsi="Times New Roman"/>
          <w:sz w:val="28"/>
          <w:szCs w:val="28"/>
        </w:rPr>
        <w:t>борьба с политической коррупцией, укрепление практик прозрачности финансовой отчетности партий, бор</w:t>
      </w:r>
      <w:r w:rsidRPr="00EB253F">
        <w:rPr>
          <w:rFonts w:ascii="Times New Roman" w:eastAsia="Adobe Fangsong Std R" w:hAnsi="Times New Roman"/>
          <w:sz w:val="28"/>
          <w:szCs w:val="28"/>
        </w:rPr>
        <w:t>ь</w:t>
      </w:r>
      <w:r w:rsidRPr="00EB253F">
        <w:rPr>
          <w:rFonts w:ascii="Times New Roman" w:eastAsia="Adobe Fangsong Std R" w:hAnsi="Times New Roman"/>
          <w:sz w:val="28"/>
          <w:szCs w:val="28"/>
        </w:rPr>
        <w:t>ба с коррупцией в правоохранительных и судебных органах, борьба с незаконным обогащением и конфискация имущества, полученного в результате ко</w:t>
      </w:r>
      <w:r w:rsidRPr="00EB253F">
        <w:rPr>
          <w:rFonts w:ascii="Times New Roman" w:eastAsia="Adobe Fangsong Std R" w:hAnsi="Times New Roman"/>
          <w:sz w:val="28"/>
          <w:szCs w:val="28"/>
        </w:rPr>
        <w:t>р</w:t>
      </w:r>
      <w:r w:rsidRPr="00EB253F">
        <w:rPr>
          <w:rFonts w:ascii="Times New Roman" w:eastAsia="Adobe Fangsong Std R" w:hAnsi="Times New Roman"/>
          <w:sz w:val="28"/>
          <w:szCs w:val="28"/>
        </w:rPr>
        <w:t>рупци</w:t>
      </w:r>
      <w:r>
        <w:rPr>
          <w:rFonts w:ascii="Times New Roman" w:eastAsia="Adobe Fangsong Std R" w:hAnsi="Times New Roman"/>
          <w:sz w:val="28"/>
          <w:szCs w:val="28"/>
        </w:rPr>
        <w:t>онных преступлений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и смежных с </w:t>
      </w:r>
      <w:r>
        <w:rPr>
          <w:rFonts w:ascii="Times New Roman" w:eastAsia="Adobe Fangsong Std R" w:hAnsi="Times New Roman"/>
          <w:sz w:val="28"/>
          <w:szCs w:val="28"/>
        </w:rPr>
        <w:t>ними преступлений</w:t>
      </w:r>
      <w:r w:rsidRPr="00EB253F">
        <w:rPr>
          <w:rFonts w:ascii="Times New Roman" w:eastAsia="Adobe Fangsong Std R" w:hAnsi="Times New Roman"/>
          <w:sz w:val="28"/>
          <w:szCs w:val="28"/>
        </w:rPr>
        <w:t>, борьба с мошенническим использованием внешних фондов, контроль имущества, личных и</w:t>
      </w:r>
      <w:r w:rsidRPr="00EB253F">
        <w:rPr>
          <w:rFonts w:ascii="Times New Roman" w:eastAsia="Adobe Fangsong Std R" w:hAnsi="Times New Roman"/>
          <w:sz w:val="28"/>
          <w:szCs w:val="28"/>
        </w:rPr>
        <w:t>н</w:t>
      </w:r>
      <w:r w:rsidRPr="00EB253F">
        <w:rPr>
          <w:rFonts w:ascii="Times New Roman" w:eastAsia="Adobe Fangsong Std R" w:hAnsi="Times New Roman"/>
          <w:sz w:val="28"/>
          <w:szCs w:val="28"/>
        </w:rPr>
        <w:t>тересов и конфликт</w:t>
      </w:r>
      <w:r>
        <w:rPr>
          <w:rFonts w:ascii="Times New Roman" w:eastAsia="Adobe Fangsong Std R" w:hAnsi="Times New Roman"/>
          <w:sz w:val="28"/>
          <w:szCs w:val="28"/>
        </w:rPr>
        <w:t>а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интересов; институциональная неподкупность и публичные услуги на основе электронных платформ.</w:t>
      </w:r>
      <w:proofErr w:type="gramEnd"/>
      <w:r w:rsidRPr="00EB253F">
        <w:rPr>
          <w:rFonts w:ascii="Times New Roman" w:eastAsia="Adobe Fangsong Std R" w:hAnsi="Times New Roman"/>
          <w:sz w:val="28"/>
          <w:szCs w:val="28"/>
        </w:rPr>
        <w:t xml:space="preserve"> Одна из мер, устано</w:t>
      </w:r>
      <w:r w:rsidRPr="00EB253F">
        <w:rPr>
          <w:rFonts w:ascii="Times New Roman" w:eastAsia="Adobe Fangsong Std R" w:hAnsi="Times New Roman"/>
          <w:sz w:val="28"/>
          <w:szCs w:val="28"/>
        </w:rPr>
        <w:t>в</w:t>
      </w:r>
      <w:r w:rsidRPr="00EB253F">
        <w:rPr>
          <w:rFonts w:ascii="Times New Roman" w:eastAsia="Adobe Fangsong Std R" w:hAnsi="Times New Roman"/>
          <w:sz w:val="28"/>
          <w:szCs w:val="28"/>
        </w:rPr>
        <w:t>ленных в рамках Программы деятельности Правительства на 2016</w:t>
      </w:r>
      <w:r>
        <w:rPr>
          <w:rFonts w:ascii="Times New Roman" w:eastAsia="Adobe Fangsong Std R" w:hAnsi="Times New Roman"/>
          <w:sz w:val="28"/>
          <w:szCs w:val="28"/>
        </w:rPr>
        <w:t>–</w:t>
      </w:r>
      <w:r w:rsidRPr="00EB253F">
        <w:rPr>
          <w:rFonts w:ascii="Times New Roman" w:eastAsia="Adobe Fangsong Std R" w:hAnsi="Times New Roman"/>
          <w:sz w:val="28"/>
          <w:szCs w:val="28"/>
        </w:rPr>
        <w:t>2018 годы, предусматривает оценк</w:t>
      </w:r>
      <w:r>
        <w:rPr>
          <w:rFonts w:ascii="Times New Roman" w:eastAsia="Adobe Fangsong Std R" w:hAnsi="Times New Roman"/>
          <w:sz w:val="28"/>
          <w:szCs w:val="28"/>
        </w:rPr>
        <w:t>у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Национальной антикоррупционной стратегии </w:t>
      </w:r>
      <w:r>
        <w:rPr>
          <w:rFonts w:ascii="Times New Roman" w:eastAsia="Adobe Fangsong Std R" w:hAnsi="Times New Roman"/>
          <w:sz w:val="28"/>
          <w:szCs w:val="28"/>
        </w:rPr>
        <w:t xml:space="preserve">на 2011–2016 годы 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(далее – </w:t>
      </w:r>
      <w:r w:rsidRPr="00EB253F">
        <w:rPr>
          <w:rFonts w:ascii="Times New Roman" w:eastAsia="Adobe Fangsong Std R" w:hAnsi="Times New Roman"/>
          <w:i/>
          <w:sz w:val="28"/>
          <w:szCs w:val="28"/>
        </w:rPr>
        <w:t>НАС 2011–201</w:t>
      </w:r>
      <w:r>
        <w:rPr>
          <w:rFonts w:ascii="Times New Roman" w:eastAsia="Adobe Fangsong Std R" w:hAnsi="Times New Roman"/>
          <w:i/>
          <w:sz w:val="28"/>
          <w:szCs w:val="28"/>
        </w:rPr>
        <w:t>6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), </w:t>
      </w:r>
      <w:r>
        <w:rPr>
          <w:rFonts w:ascii="Times New Roman" w:eastAsia="Adobe Fangsong Std R" w:hAnsi="Times New Roman"/>
          <w:sz w:val="28"/>
          <w:szCs w:val="28"/>
        </w:rPr>
        <w:t>продление</w:t>
      </w:r>
      <w:r w:rsidRPr="00EB253F">
        <w:rPr>
          <w:rFonts w:ascii="Times New Roman" w:eastAsia="Adobe Fangsong Std R" w:hAnsi="Times New Roman"/>
          <w:sz w:val="28"/>
          <w:szCs w:val="28"/>
        </w:rPr>
        <w:t xml:space="preserve"> графика ее реализации еще на год и утверждение новой Стратегии по борьбе с коррупцией на след</w:t>
      </w:r>
      <w:r w:rsidRPr="00EB253F">
        <w:rPr>
          <w:rFonts w:ascii="Times New Roman" w:eastAsia="Adobe Fangsong Std R" w:hAnsi="Times New Roman"/>
          <w:sz w:val="28"/>
          <w:szCs w:val="28"/>
        </w:rPr>
        <w:t>у</w:t>
      </w:r>
      <w:r w:rsidRPr="00EB253F">
        <w:rPr>
          <w:rFonts w:ascii="Times New Roman" w:eastAsia="Adobe Fangsong Std R" w:hAnsi="Times New Roman"/>
          <w:sz w:val="28"/>
          <w:szCs w:val="28"/>
        </w:rPr>
        <w:t>ющий период.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В ходе предварительной оценки </w:t>
      </w:r>
      <w:r>
        <w:rPr>
          <w:rFonts w:ascii="Times New Roman" w:hAnsi="Times New Roman"/>
          <w:sz w:val="28"/>
          <w:szCs w:val="28"/>
        </w:rPr>
        <w:t>реализации</w:t>
      </w:r>
      <w:r w:rsidRPr="00EB253F">
        <w:rPr>
          <w:rFonts w:ascii="Times New Roman" w:hAnsi="Times New Roman"/>
          <w:sz w:val="28"/>
          <w:szCs w:val="28"/>
        </w:rPr>
        <w:t xml:space="preserve"> НАС 2011–201</w:t>
      </w:r>
      <w:r>
        <w:rPr>
          <w:rFonts w:ascii="Times New Roman" w:hAnsi="Times New Roman"/>
          <w:sz w:val="28"/>
          <w:szCs w:val="28"/>
        </w:rPr>
        <w:t>6</w:t>
      </w:r>
      <w:r w:rsidRPr="00EB253F">
        <w:rPr>
          <w:rStyle w:val="FootnoteReference"/>
          <w:rFonts w:ascii="Times New Roman" w:eastAsia="Adobe Fangsong Std R" w:hAnsi="Times New Roman"/>
          <w:sz w:val="28"/>
          <w:szCs w:val="28"/>
        </w:rPr>
        <w:footnoteReference w:id="2"/>
      </w:r>
      <w:r w:rsidRPr="00EB253F">
        <w:rPr>
          <w:rFonts w:ascii="Times New Roman" w:hAnsi="Times New Roman"/>
          <w:sz w:val="28"/>
          <w:szCs w:val="28"/>
        </w:rPr>
        <w:t>, осущест</w:t>
      </w:r>
      <w:r w:rsidRPr="00EB253F">
        <w:rPr>
          <w:rFonts w:ascii="Times New Roman" w:hAnsi="Times New Roman"/>
          <w:sz w:val="28"/>
          <w:szCs w:val="28"/>
        </w:rPr>
        <w:t>в</w:t>
      </w:r>
      <w:r w:rsidRPr="00EB253F">
        <w:rPr>
          <w:rFonts w:ascii="Times New Roman" w:hAnsi="Times New Roman"/>
          <w:sz w:val="28"/>
          <w:szCs w:val="28"/>
        </w:rPr>
        <w:t>ленн</w:t>
      </w:r>
      <w:r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й независимыми экспертами–представителями гражданского общес</w:t>
      </w:r>
      <w:r w:rsidRPr="00EB253F">
        <w:rPr>
          <w:rFonts w:ascii="Times New Roman" w:hAnsi="Times New Roman"/>
          <w:sz w:val="28"/>
          <w:szCs w:val="28"/>
        </w:rPr>
        <w:t>т</w:t>
      </w:r>
      <w:r w:rsidRPr="00EB253F">
        <w:rPr>
          <w:rFonts w:ascii="Times New Roman" w:hAnsi="Times New Roman"/>
          <w:sz w:val="28"/>
          <w:szCs w:val="28"/>
        </w:rPr>
        <w:t>ва, были определены степень реализации действий по борьбе с коррупцией и их эффективность, а также рекомендован</w:t>
      </w:r>
      <w:r>
        <w:rPr>
          <w:rFonts w:ascii="Times New Roman" w:hAnsi="Times New Roman"/>
          <w:sz w:val="28"/>
          <w:szCs w:val="28"/>
        </w:rPr>
        <w:t xml:space="preserve"> новый</w:t>
      </w:r>
      <w:r w:rsidRPr="00EB253F">
        <w:rPr>
          <w:rFonts w:ascii="Times New Roman" w:hAnsi="Times New Roman"/>
          <w:sz w:val="28"/>
          <w:szCs w:val="28"/>
        </w:rPr>
        <w:t xml:space="preserve"> поход к следующему програм</w:t>
      </w:r>
      <w:r w:rsidRPr="00EB253F">
        <w:rPr>
          <w:rFonts w:ascii="Times New Roman" w:hAnsi="Times New Roman"/>
          <w:sz w:val="28"/>
          <w:szCs w:val="28"/>
        </w:rPr>
        <w:t>м</w:t>
      </w:r>
      <w:r w:rsidRPr="00EB253F">
        <w:rPr>
          <w:rFonts w:ascii="Times New Roman" w:hAnsi="Times New Roman"/>
          <w:sz w:val="28"/>
          <w:szCs w:val="28"/>
        </w:rPr>
        <w:t>ному документу в данной области. Результаты реализации НАС 2011–201</w:t>
      </w:r>
      <w:r>
        <w:rPr>
          <w:rFonts w:ascii="Times New Roman" w:hAnsi="Times New Roman"/>
          <w:sz w:val="28"/>
          <w:szCs w:val="28"/>
        </w:rPr>
        <w:t>6</w:t>
      </w:r>
      <w:r w:rsidRPr="00EB253F">
        <w:rPr>
          <w:rFonts w:ascii="Times New Roman" w:hAnsi="Times New Roman"/>
          <w:sz w:val="28"/>
          <w:szCs w:val="28"/>
        </w:rPr>
        <w:t xml:space="preserve"> названы удовлетворительными, так как большинство предусмотренных де</w:t>
      </w:r>
      <w:r w:rsidRPr="00EB253F">
        <w:rPr>
          <w:rFonts w:ascii="Times New Roman" w:hAnsi="Times New Roman"/>
          <w:sz w:val="28"/>
          <w:szCs w:val="28"/>
        </w:rPr>
        <w:t>й</w:t>
      </w:r>
      <w:r w:rsidRPr="00EB253F">
        <w:rPr>
          <w:rFonts w:ascii="Times New Roman" w:hAnsi="Times New Roman"/>
          <w:sz w:val="28"/>
          <w:szCs w:val="28"/>
        </w:rPr>
        <w:t>ствий было выполнено. Был установлен высокий уровень осуществления и</w:t>
      </w:r>
      <w:r w:rsidRPr="00EB253F">
        <w:rPr>
          <w:rFonts w:ascii="Times New Roman" w:hAnsi="Times New Roman"/>
          <w:sz w:val="28"/>
          <w:szCs w:val="28"/>
        </w:rPr>
        <w:t>с</w:t>
      </w:r>
      <w:r w:rsidRPr="00EB253F">
        <w:rPr>
          <w:rFonts w:ascii="Times New Roman" w:hAnsi="Times New Roman"/>
          <w:sz w:val="28"/>
          <w:szCs w:val="28"/>
        </w:rPr>
        <w:t>следовательской, институциональной деятельности, деятельности по воспит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>нию и информированию общественности. Положительн</w:t>
      </w:r>
      <w:r>
        <w:rPr>
          <w:rFonts w:ascii="Times New Roman" w:hAnsi="Times New Roman"/>
          <w:sz w:val="28"/>
          <w:szCs w:val="28"/>
        </w:rPr>
        <w:t>ая</w:t>
      </w:r>
      <w:r w:rsidRPr="00EB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</w:t>
      </w:r>
      <w:r w:rsidRPr="00EB253F">
        <w:rPr>
          <w:rFonts w:ascii="Times New Roman" w:hAnsi="Times New Roman"/>
          <w:sz w:val="28"/>
          <w:szCs w:val="28"/>
        </w:rPr>
        <w:t xml:space="preserve"> наблюд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 xml:space="preserve">ется в следующих областях: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приведение к единообразию судебных практик и значительное сокр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>щение произвольного применения уголовного законодательства с целью облегчения положения лиц, осужденных в связи с коррупцией (была прекр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 xml:space="preserve">щена практика привлечения к </w:t>
      </w:r>
      <w:proofErr w:type="spellStart"/>
      <w:r w:rsidRPr="00EB253F">
        <w:rPr>
          <w:rFonts w:ascii="Times New Roman" w:hAnsi="Times New Roman"/>
          <w:sz w:val="28"/>
          <w:szCs w:val="28"/>
        </w:rPr>
        <w:t>правонарушительной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 ответственности вместо уголо</w:t>
      </w:r>
      <w:r w:rsidRPr="00EB253F">
        <w:rPr>
          <w:rFonts w:ascii="Times New Roman" w:hAnsi="Times New Roman"/>
          <w:sz w:val="28"/>
          <w:szCs w:val="28"/>
        </w:rPr>
        <w:t>в</w:t>
      </w:r>
      <w:r w:rsidRPr="00EB253F">
        <w:rPr>
          <w:rFonts w:ascii="Times New Roman" w:hAnsi="Times New Roman"/>
          <w:sz w:val="28"/>
          <w:szCs w:val="28"/>
        </w:rPr>
        <w:t>ной, была прекращена практика использования в качестве исключ</w:t>
      </w:r>
      <w:r w:rsidRPr="00EB253F"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>тельных и смягчающих ответственность обстоятельств факт заключения с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глашения о признании подсудимыми своей вины);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внедрение национальной системы сообщения по телефону</w:t>
      </w:r>
      <w:r w:rsidRPr="00302B8E">
        <w:rPr>
          <w:rFonts w:ascii="Times New Roman" w:hAnsi="Times New Roman"/>
          <w:sz w:val="28"/>
          <w:szCs w:val="28"/>
        </w:rPr>
        <w:t xml:space="preserve"> </w:t>
      </w:r>
      <w:r w:rsidRPr="00EB253F">
        <w:rPr>
          <w:rFonts w:ascii="Times New Roman" w:hAnsi="Times New Roman"/>
          <w:sz w:val="28"/>
          <w:szCs w:val="28"/>
        </w:rPr>
        <w:t xml:space="preserve">о случаях коррупции;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укрепление деятельности по оценке рисков коррупци</w:t>
      </w:r>
      <w:r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 xml:space="preserve"> в публичных органах;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– укрепление нормативной базы в сфере государственных закупок;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lastRenderedPageBreak/>
        <w:t>– укрепление нормативной базы в сфере обеспечения прозрачности ф</w:t>
      </w:r>
      <w:r w:rsidRPr="00EB253F"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>нансирования политических партий, в соответствии с рекомендациями Совета Евр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пы;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более широкое применение электронных систем и платформ в ходе операционной деятельности ряда учреждений (Интегрированная пр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грамма управления делами в рамках судебной системы, система электронных проц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дур таможенного оформления в рамках Таможенной службы, автоматизир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ванная система наблюдения за дорожным движением в рамках Национал</w:t>
      </w:r>
      <w:r w:rsidRPr="00EB253F">
        <w:rPr>
          <w:rFonts w:ascii="Times New Roman" w:hAnsi="Times New Roman"/>
          <w:sz w:val="28"/>
          <w:szCs w:val="28"/>
        </w:rPr>
        <w:t>ь</w:t>
      </w:r>
      <w:r w:rsidRPr="00EB253F">
        <w:rPr>
          <w:rFonts w:ascii="Times New Roman" w:hAnsi="Times New Roman"/>
          <w:sz w:val="28"/>
          <w:szCs w:val="28"/>
        </w:rPr>
        <w:t>ной патрульной инспекци</w:t>
      </w:r>
      <w:r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 xml:space="preserve"> и пр.);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более строгий контроль процесс</w:t>
      </w:r>
      <w:r>
        <w:rPr>
          <w:rFonts w:ascii="Times New Roman" w:hAnsi="Times New Roman"/>
          <w:sz w:val="28"/>
          <w:szCs w:val="28"/>
        </w:rPr>
        <w:t>ов</w:t>
      </w:r>
      <w:r w:rsidRPr="00EB253F">
        <w:rPr>
          <w:rFonts w:ascii="Times New Roman" w:hAnsi="Times New Roman"/>
          <w:sz w:val="28"/>
          <w:szCs w:val="28"/>
        </w:rPr>
        <w:t xml:space="preserve"> в рамках системы образования (в</w:t>
      </w:r>
      <w:r w:rsidRPr="00EB253F"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 xml:space="preserve">деонаблюдение за экзаменами бакалавра);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ужесточение требований по неподкупности и повышение уровня гарантий для органов, вовлеченных в процесс борьбы с коррупцией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B253F">
        <w:rPr>
          <w:rFonts w:ascii="Times New Roman" w:hAnsi="Times New Roman"/>
          <w:sz w:val="28"/>
          <w:szCs w:val="28"/>
        </w:rPr>
        <w:t>офиц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 w:rsidRPr="00EB253F">
        <w:rPr>
          <w:rFonts w:ascii="Times New Roman" w:hAnsi="Times New Roman"/>
          <w:sz w:val="28"/>
          <w:szCs w:val="28"/>
        </w:rPr>
        <w:t xml:space="preserve"> Национального центра по борьбе с коррупцией, прокурор</w:t>
      </w:r>
      <w:r>
        <w:rPr>
          <w:rFonts w:ascii="Times New Roman" w:hAnsi="Times New Roman"/>
          <w:sz w:val="28"/>
          <w:szCs w:val="28"/>
        </w:rPr>
        <w:t>ов</w:t>
      </w:r>
      <w:r w:rsidRPr="00EB253F">
        <w:rPr>
          <w:rFonts w:ascii="Times New Roman" w:hAnsi="Times New Roman"/>
          <w:sz w:val="28"/>
          <w:szCs w:val="28"/>
        </w:rPr>
        <w:t xml:space="preserve"> Антикорру</w:t>
      </w:r>
      <w:r w:rsidRPr="00EB253F">
        <w:rPr>
          <w:rFonts w:ascii="Times New Roman" w:hAnsi="Times New Roman"/>
          <w:sz w:val="28"/>
          <w:szCs w:val="28"/>
        </w:rPr>
        <w:t>п</w:t>
      </w:r>
      <w:r w:rsidRPr="00EB253F">
        <w:rPr>
          <w:rFonts w:ascii="Times New Roman" w:hAnsi="Times New Roman"/>
          <w:sz w:val="28"/>
          <w:szCs w:val="28"/>
        </w:rPr>
        <w:t>ционной прокуратуры и суд</w:t>
      </w:r>
      <w:r>
        <w:rPr>
          <w:rFonts w:ascii="Times New Roman" w:hAnsi="Times New Roman"/>
          <w:sz w:val="28"/>
          <w:szCs w:val="28"/>
        </w:rPr>
        <w:t>ей</w:t>
      </w:r>
      <w:r w:rsidRPr="00EB253F">
        <w:rPr>
          <w:rFonts w:ascii="Times New Roman" w:hAnsi="Times New Roman"/>
          <w:sz w:val="28"/>
          <w:szCs w:val="28"/>
        </w:rPr>
        <w:t xml:space="preserve">);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– повышение прозрачности деятельности центральных органов публи</w:t>
      </w:r>
      <w:r w:rsidRPr="00EB253F">
        <w:rPr>
          <w:rFonts w:ascii="Times New Roman" w:hAnsi="Times New Roman"/>
          <w:sz w:val="28"/>
          <w:szCs w:val="28"/>
        </w:rPr>
        <w:t>ч</w:t>
      </w:r>
      <w:r w:rsidRPr="00EB253F">
        <w:rPr>
          <w:rFonts w:ascii="Times New Roman" w:hAnsi="Times New Roman"/>
          <w:sz w:val="28"/>
          <w:szCs w:val="28"/>
        </w:rPr>
        <w:t>ной власти (ЦОПВ) и местных органов публичной власти (МОПВ), прав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охранительных органов и судебной системы.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В то же время, в ходе оценки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B253F">
        <w:rPr>
          <w:rFonts w:ascii="Times New Roman" w:hAnsi="Times New Roman"/>
          <w:sz w:val="28"/>
          <w:szCs w:val="28"/>
        </w:rPr>
        <w:t>НАС 2011–2016 было устано</w:t>
      </w:r>
      <w:r w:rsidRPr="00EB253F">
        <w:rPr>
          <w:rFonts w:ascii="Times New Roman" w:hAnsi="Times New Roman"/>
          <w:sz w:val="28"/>
          <w:szCs w:val="28"/>
        </w:rPr>
        <w:t>в</w:t>
      </w:r>
      <w:r w:rsidRPr="00EB253F">
        <w:rPr>
          <w:rFonts w:ascii="Times New Roman" w:hAnsi="Times New Roman"/>
          <w:sz w:val="28"/>
          <w:szCs w:val="28"/>
        </w:rPr>
        <w:t>лено, что не все показатели эффективности общих задач и цели стратегии б</w:t>
      </w:r>
      <w:r w:rsidRPr="00EB253F">
        <w:rPr>
          <w:rFonts w:ascii="Times New Roman" w:hAnsi="Times New Roman"/>
          <w:sz w:val="28"/>
          <w:szCs w:val="28"/>
        </w:rPr>
        <w:t>ы</w:t>
      </w:r>
      <w:r w:rsidRPr="00EB253F">
        <w:rPr>
          <w:rFonts w:ascii="Times New Roman" w:hAnsi="Times New Roman"/>
          <w:sz w:val="28"/>
          <w:szCs w:val="28"/>
        </w:rPr>
        <w:t>ли достигнуты. Хотя некоторые показатели улучшились, другие колеб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 xml:space="preserve">лись, вернувшись к уровню показателей на начало периода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B253F">
        <w:rPr>
          <w:rFonts w:ascii="Times New Roman" w:hAnsi="Times New Roman"/>
          <w:sz w:val="28"/>
          <w:szCs w:val="28"/>
        </w:rPr>
        <w:t>стр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>тегии.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Так, показатели эффективности общей задачи НАС 2011–2016 «</w:t>
      </w:r>
      <w:r w:rsidRPr="00EB253F">
        <w:rPr>
          <w:rFonts w:ascii="Times New Roman" w:hAnsi="Times New Roman"/>
          <w:i/>
          <w:iCs/>
          <w:sz w:val="28"/>
          <w:szCs w:val="28"/>
        </w:rPr>
        <w:t>превр</w:t>
      </w:r>
      <w:r w:rsidRPr="00EB253F">
        <w:rPr>
          <w:rFonts w:ascii="Times New Roman" w:hAnsi="Times New Roman"/>
          <w:i/>
          <w:iCs/>
          <w:sz w:val="28"/>
          <w:szCs w:val="28"/>
        </w:rPr>
        <w:t>а</w:t>
      </w:r>
      <w:r w:rsidRPr="00EB253F">
        <w:rPr>
          <w:rFonts w:ascii="Times New Roman" w:hAnsi="Times New Roman"/>
          <w:i/>
          <w:iCs/>
          <w:sz w:val="28"/>
          <w:szCs w:val="28"/>
        </w:rPr>
        <w:t xml:space="preserve">щение коррупции из выгодной и </w:t>
      </w:r>
      <w:proofErr w:type="spellStart"/>
      <w:r w:rsidRPr="00EB253F">
        <w:rPr>
          <w:rFonts w:ascii="Times New Roman" w:hAnsi="Times New Roman"/>
          <w:i/>
          <w:iCs/>
          <w:sz w:val="28"/>
          <w:szCs w:val="28"/>
        </w:rPr>
        <w:t>малорискованной</w:t>
      </w:r>
      <w:proofErr w:type="spellEnd"/>
      <w:r w:rsidRPr="00EB253F">
        <w:rPr>
          <w:rFonts w:ascii="Times New Roman" w:hAnsi="Times New Roman"/>
          <w:i/>
          <w:iCs/>
          <w:sz w:val="28"/>
          <w:szCs w:val="28"/>
        </w:rPr>
        <w:t xml:space="preserve"> деятельности в деятел</w:t>
      </w:r>
      <w:r w:rsidRPr="00EB253F">
        <w:rPr>
          <w:rFonts w:ascii="Times New Roman" w:hAnsi="Times New Roman"/>
          <w:i/>
          <w:iCs/>
          <w:sz w:val="28"/>
          <w:szCs w:val="28"/>
        </w:rPr>
        <w:t>ь</w:t>
      </w:r>
      <w:r w:rsidRPr="00EB253F">
        <w:rPr>
          <w:rFonts w:ascii="Times New Roman" w:hAnsi="Times New Roman"/>
          <w:i/>
          <w:iCs/>
          <w:sz w:val="28"/>
          <w:szCs w:val="28"/>
        </w:rPr>
        <w:t>ность невыгодную и чрезвычайно рискованную</w:t>
      </w:r>
      <w:r w:rsidRPr="00EB253F">
        <w:rPr>
          <w:rFonts w:ascii="Times New Roman" w:hAnsi="Times New Roman"/>
          <w:sz w:val="28"/>
          <w:szCs w:val="28"/>
        </w:rPr>
        <w:t>» развивались противоречиво: Мировой показатель эффективности управления (ПЭУ) «Контроль над ко</w:t>
      </w:r>
      <w:r w:rsidRPr="00EB253F">
        <w:rPr>
          <w:rFonts w:ascii="Times New Roman" w:hAnsi="Times New Roman"/>
          <w:sz w:val="28"/>
          <w:szCs w:val="28"/>
        </w:rPr>
        <w:t>р</w:t>
      </w:r>
      <w:r w:rsidRPr="00EB253F">
        <w:rPr>
          <w:rFonts w:ascii="Times New Roman" w:hAnsi="Times New Roman"/>
          <w:sz w:val="28"/>
          <w:szCs w:val="28"/>
        </w:rPr>
        <w:t>рупцией» снизился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EB253F">
        <w:rPr>
          <w:rFonts w:ascii="Times New Roman" w:hAnsi="Times New Roman"/>
          <w:sz w:val="28"/>
          <w:szCs w:val="28"/>
        </w:rPr>
        <w:t>, в то время как ПЭУ «Качество регулирования» незнач</w:t>
      </w:r>
      <w:r w:rsidRPr="00EB253F"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>тельно повысился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EB253F">
        <w:rPr>
          <w:rFonts w:ascii="Times New Roman" w:hAnsi="Times New Roman"/>
          <w:sz w:val="28"/>
          <w:szCs w:val="28"/>
        </w:rPr>
        <w:t>. Развитие показателей эффективности вт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рой общей задачи «</w:t>
      </w:r>
      <w:r w:rsidRPr="00727A1E">
        <w:rPr>
          <w:rFonts w:ascii="Times New Roman" w:hAnsi="Times New Roman"/>
          <w:i/>
          <w:sz w:val="28"/>
          <w:szCs w:val="28"/>
        </w:rPr>
        <w:t>содействие созданию климата нулевой терпимости к коррупции</w:t>
      </w:r>
      <w:r w:rsidRPr="00EB253F">
        <w:rPr>
          <w:rFonts w:ascii="Times New Roman" w:hAnsi="Times New Roman"/>
          <w:sz w:val="28"/>
          <w:szCs w:val="28"/>
        </w:rPr>
        <w:t>» было о</w:t>
      </w:r>
      <w:r w:rsidRPr="00EB253F">
        <w:rPr>
          <w:rFonts w:ascii="Times New Roman" w:hAnsi="Times New Roman"/>
          <w:sz w:val="28"/>
          <w:szCs w:val="28"/>
        </w:rPr>
        <w:t>б</w:t>
      </w:r>
      <w:r w:rsidRPr="00EB253F">
        <w:rPr>
          <w:rFonts w:ascii="Times New Roman" w:hAnsi="Times New Roman"/>
          <w:sz w:val="28"/>
          <w:szCs w:val="28"/>
        </w:rPr>
        <w:t>ратным либо неопределенным в связи с изменением методологий расчета и/или прекращением источника отслеживать развитие. Так, проводимое «</w:t>
      </w:r>
      <w:proofErr w:type="spellStart"/>
      <w:r w:rsidRPr="00EB253F">
        <w:rPr>
          <w:rFonts w:ascii="Times New Roman" w:hAnsi="Times New Roman"/>
          <w:sz w:val="28"/>
          <w:szCs w:val="28"/>
        </w:rPr>
        <w:t>Transparency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53F">
        <w:rPr>
          <w:rFonts w:ascii="Times New Roman" w:hAnsi="Times New Roman"/>
          <w:sz w:val="28"/>
          <w:szCs w:val="28"/>
        </w:rPr>
        <w:t>International</w:t>
      </w:r>
      <w:proofErr w:type="spellEnd"/>
      <w:r w:rsidRPr="00EB253F">
        <w:rPr>
          <w:rFonts w:ascii="Times New Roman" w:hAnsi="Times New Roman"/>
          <w:sz w:val="28"/>
          <w:szCs w:val="28"/>
        </w:rPr>
        <w:t>» исследование «Барометр мировой коррупции» п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казывает рост доли лиц, дававших </w:t>
      </w:r>
      <w:proofErr w:type="gramStart"/>
      <w:r w:rsidRPr="00EB253F">
        <w:rPr>
          <w:rFonts w:ascii="Times New Roman" w:hAnsi="Times New Roman"/>
          <w:sz w:val="28"/>
          <w:szCs w:val="28"/>
        </w:rPr>
        <w:t>взятки</w:t>
      </w:r>
      <w:proofErr w:type="gramEnd"/>
      <w:r w:rsidRPr="00EB253F">
        <w:rPr>
          <w:rFonts w:ascii="Times New Roman" w:hAnsi="Times New Roman"/>
          <w:sz w:val="28"/>
          <w:szCs w:val="28"/>
        </w:rPr>
        <w:t xml:space="preserve"> по крайней мере в одной из обл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 xml:space="preserve">стей, </w:t>
      </w:r>
      <w:r>
        <w:rPr>
          <w:rFonts w:ascii="Times New Roman" w:hAnsi="Times New Roman"/>
          <w:sz w:val="28"/>
          <w:szCs w:val="28"/>
        </w:rPr>
        <w:t>охватываемых</w:t>
      </w:r>
      <w:r w:rsidRPr="00EB253F">
        <w:rPr>
          <w:rFonts w:ascii="Times New Roman" w:hAnsi="Times New Roman"/>
          <w:sz w:val="28"/>
          <w:szCs w:val="28"/>
        </w:rPr>
        <w:t xml:space="preserve"> исследование</w:t>
      </w:r>
      <w:r>
        <w:rPr>
          <w:rFonts w:ascii="Times New Roman" w:hAnsi="Times New Roman"/>
          <w:sz w:val="28"/>
          <w:szCs w:val="28"/>
        </w:rPr>
        <w:t>м</w:t>
      </w:r>
      <w:r w:rsidRPr="00EB253F">
        <w:rPr>
          <w:rFonts w:ascii="Times New Roman" w:hAnsi="Times New Roman"/>
          <w:sz w:val="28"/>
          <w:szCs w:val="28"/>
        </w:rPr>
        <w:t xml:space="preserve">: полиция, правосудие, здравоохранение, образование, документирование населения, </w:t>
      </w:r>
      <w:r w:rsidRPr="00EB253F">
        <w:rPr>
          <w:rFonts w:ascii="Times New Roman" w:hAnsi="Times New Roman"/>
          <w:sz w:val="28"/>
          <w:szCs w:val="28"/>
        </w:rPr>
        <w:lastRenderedPageBreak/>
        <w:t>выплата пособий по безработице, прочие социальные услуги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EB253F">
        <w:rPr>
          <w:rFonts w:ascii="Times New Roman" w:hAnsi="Times New Roman"/>
          <w:sz w:val="28"/>
          <w:szCs w:val="28"/>
        </w:rPr>
        <w:t xml:space="preserve">. При этом, несмотря на то, что </w:t>
      </w:r>
      <w:proofErr w:type="spellStart"/>
      <w:r w:rsidRPr="00EB253F">
        <w:rPr>
          <w:rFonts w:ascii="Times New Roman" w:hAnsi="Times New Roman"/>
          <w:sz w:val="28"/>
          <w:szCs w:val="28"/>
        </w:rPr>
        <w:t>Transparency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53F">
        <w:rPr>
          <w:rFonts w:ascii="Times New Roman" w:hAnsi="Times New Roman"/>
          <w:sz w:val="28"/>
          <w:szCs w:val="28"/>
        </w:rPr>
        <w:t>International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-Молдова (далее – </w:t>
      </w:r>
      <w:r w:rsidRPr="00EB253F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EB253F">
        <w:rPr>
          <w:rFonts w:ascii="Times New Roman" w:hAnsi="Times New Roman"/>
          <w:i/>
          <w:sz w:val="28"/>
          <w:szCs w:val="28"/>
        </w:rPr>
        <w:t>-Молдова</w:t>
      </w:r>
      <w:r w:rsidRPr="00EB253F">
        <w:rPr>
          <w:rFonts w:ascii="Times New Roman" w:hAnsi="Times New Roman"/>
          <w:sz w:val="28"/>
          <w:szCs w:val="28"/>
        </w:rPr>
        <w:t>) не проводил</w:t>
      </w:r>
      <w:r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 xml:space="preserve"> после 2010 года сравнительный анализ доли лиц из среды домохозяйств и предпринимателей, готовых предлагать взятки, в этом сегменте также были отмечены противор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чивые показатели: в то время как доля лиц из среды домохозяйств, готовых давать взятки, слегка выросла, доля предпринимателей, готовых д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>вать взятки, значительно сократилась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EB253F">
        <w:rPr>
          <w:rFonts w:ascii="Times New Roman" w:hAnsi="Times New Roman"/>
          <w:sz w:val="28"/>
          <w:szCs w:val="28"/>
        </w:rPr>
        <w:t>.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Кроме того, показатели реализации цели НАС 2011–2016, продленной на 2016 год, </w:t>
      </w:r>
      <w:r>
        <w:rPr>
          <w:rFonts w:ascii="Times New Roman" w:hAnsi="Times New Roman"/>
          <w:sz w:val="28"/>
          <w:szCs w:val="28"/>
        </w:rPr>
        <w:t>дали</w:t>
      </w:r>
      <w:r w:rsidRPr="00EB253F">
        <w:rPr>
          <w:rFonts w:ascii="Times New Roman" w:hAnsi="Times New Roman"/>
          <w:sz w:val="28"/>
          <w:szCs w:val="28"/>
        </w:rPr>
        <w:t xml:space="preserve"> противоречивые </w:t>
      </w:r>
      <w:r>
        <w:rPr>
          <w:rFonts w:ascii="Times New Roman" w:hAnsi="Times New Roman"/>
          <w:sz w:val="28"/>
          <w:szCs w:val="28"/>
        </w:rPr>
        <w:t>величины</w:t>
      </w:r>
      <w:r w:rsidRPr="00EB253F">
        <w:rPr>
          <w:rFonts w:ascii="Times New Roman" w:hAnsi="Times New Roman"/>
          <w:sz w:val="28"/>
          <w:szCs w:val="28"/>
        </w:rPr>
        <w:t xml:space="preserve"> и изменения: </w:t>
      </w:r>
      <w:proofErr w:type="gramStart"/>
      <w:r w:rsidRPr="00EB253F">
        <w:rPr>
          <w:rFonts w:ascii="Times New Roman" w:hAnsi="Times New Roman"/>
          <w:sz w:val="28"/>
          <w:szCs w:val="28"/>
        </w:rPr>
        <w:t xml:space="preserve">Индекс восприятия коррупции (далее – </w:t>
      </w:r>
      <w:r w:rsidRPr="00EB253F">
        <w:rPr>
          <w:rFonts w:ascii="Times New Roman" w:hAnsi="Times New Roman"/>
          <w:i/>
          <w:sz w:val="28"/>
          <w:szCs w:val="28"/>
        </w:rPr>
        <w:t>ИВК</w:t>
      </w:r>
      <w:r w:rsidRPr="00EB253F">
        <w:rPr>
          <w:rFonts w:ascii="Times New Roman" w:hAnsi="Times New Roman"/>
          <w:sz w:val="28"/>
          <w:szCs w:val="28"/>
        </w:rPr>
        <w:t xml:space="preserve">), рассчитываемый </w:t>
      </w:r>
      <w:proofErr w:type="spellStart"/>
      <w:r w:rsidRPr="00EB253F">
        <w:rPr>
          <w:rFonts w:ascii="Times New Roman" w:hAnsi="Times New Roman"/>
          <w:sz w:val="28"/>
          <w:szCs w:val="28"/>
        </w:rPr>
        <w:t>Transaprency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53F">
        <w:rPr>
          <w:rFonts w:ascii="Times New Roman" w:hAnsi="Times New Roman"/>
          <w:sz w:val="28"/>
          <w:szCs w:val="28"/>
        </w:rPr>
        <w:t>International</w:t>
      </w:r>
      <w:proofErr w:type="spellEnd"/>
      <w:r w:rsidRPr="00EB253F">
        <w:rPr>
          <w:rFonts w:ascii="Times New Roman" w:hAnsi="Times New Roman"/>
          <w:sz w:val="28"/>
          <w:szCs w:val="28"/>
        </w:rPr>
        <w:t>, незначительно улучшился в 2016 году по сравнению с 2011 годом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EB253F">
        <w:rPr>
          <w:rFonts w:ascii="Times New Roman" w:hAnsi="Times New Roman"/>
          <w:sz w:val="28"/>
          <w:szCs w:val="28"/>
        </w:rPr>
        <w:t>, общий расче</w:t>
      </w:r>
      <w:r w:rsidRPr="00EB253F">
        <w:rPr>
          <w:rFonts w:ascii="Times New Roman" w:hAnsi="Times New Roman"/>
          <w:sz w:val="28"/>
          <w:szCs w:val="28"/>
        </w:rPr>
        <w:t>т</w:t>
      </w:r>
      <w:r w:rsidRPr="00EB253F">
        <w:rPr>
          <w:rFonts w:ascii="Times New Roman" w:hAnsi="Times New Roman"/>
          <w:sz w:val="28"/>
          <w:szCs w:val="28"/>
        </w:rPr>
        <w:t>ный объем взяток, предлагаемых домохозяйствами и предпринимателями, рассчитываемый Т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253F">
        <w:rPr>
          <w:rFonts w:ascii="Times New Roman" w:hAnsi="Times New Roman"/>
          <w:sz w:val="28"/>
          <w:szCs w:val="28"/>
        </w:rPr>
        <w:t>-Молдова улучшился, но не достиг предусмотренного Стратегией уровня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, </w:t>
      </w:r>
      <w:r w:rsidRPr="00EB253F">
        <w:rPr>
          <w:rFonts w:ascii="Times New Roman" w:hAnsi="Times New Roman"/>
          <w:sz w:val="28"/>
          <w:szCs w:val="28"/>
        </w:rPr>
        <w:t>Мировой индекс экономической свободы, рассчитыва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мый «</w:t>
      </w:r>
      <w:proofErr w:type="spellStart"/>
      <w:r w:rsidRPr="00EB253F">
        <w:rPr>
          <w:rFonts w:ascii="Times New Roman" w:hAnsi="Times New Roman"/>
          <w:sz w:val="28"/>
          <w:szCs w:val="28"/>
        </w:rPr>
        <w:t>Heritage</w:t>
      </w:r>
      <w:proofErr w:type="spellEnd"/>
      <w:r w:rsidRPr="00EB2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53F">
        <w:rPr>
          <w:rFonts w:ascii="Times New Roman" w:hAnsi="Times New Roman"/>
          <w:sz w:val="28"/>
          <w:szCs w:val="28"/>
        </w:rPr>
        <w:t>Foundation</w:t>
      </w:r>
      <w:proofErr w:type="spellEnd"/>
      <w:r w:rsidRPr="00EB253F">
        <w:rPr>
          <w:rFonts w:ascii="Times New Roman" w:hAnsi="Times New Roman"/>
          <w:sz w:val="28"/>
          <w:szCs w:val="28"/>
        </w:rPr>
        <w:t>», также улучшился, однако не достиг запланирова</w:t>
      </w:r>
      <w:r w:rsidRPr="00EB253F">
        <w:rPr>
          <w:rFonts w:ascii="Times New Roman" w:hAnsi="Times New Roman"/>
          <w:sz w:val="28"/>
          <w:szCs w:val="28"/>
        </w:rPr>
        <w:t>н</w:t>
      </w:r>
      <w:r w:rsidRPr="00EB253F">
        <w:rPr>
          <w:rFonts w:ascii="Times New Roman" w:hAnsi="Times New Roman"/>
          <w:sz w:val="28"/>
          <w:szCs w:val="28"/>
        </w:rPr>
        <w:t>ного уровня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Pr="00EB253F">
        <w:rPr>
          <w:rFonts w:ascii="Times New Roman" w:hAnsi="Times New Roman"/>
          <w:sz w:val="28"/>
          <w:szCs w:val="28"/>
        </w:rPr>
        <w:t xml:space="preserve">. Определение результатов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B253F">
        <w:rPr>
          <w:rFonts w:ascii="Times New Roman" w:hAnsi="Times New Roman"/>
          <w:sz w:val="28"/>
          <w:szCs w:val="28"/>
        </w:rPr>
        <w:t xml:space="preserve">НАС 2011–2016 </w:t>
      </w:r>
      <w:r>
        <w:rPr>
          <w:rFonts w:ascii="Times New Roman" w:hAnsi="Times New Roman"/>
          <w:sz w:val="28"/>
          <w:szCs w:val="28"/>
        </w:rPr>
        <w:t>по</w:t>
      </w:r>
      <w:r w:rsidRPr="00EB253F">
        <w:rPr>
          <w:rFonts w:ascii="Times New Roman" w:hAnsi="Times New Roman"/>
          <w:sz w:val="28"/>
          <w:szCs w:val="28"/>
        </w:rPr>
        <w:t xml:space="preserve"> пок</w:t>
      </w:r>
      <w:r w:rsidRPr="00EB253F">
        <w:rPr>
          <w:rFonts w:ascii="Times New Roman" w:hAnsi="Times New Roman"/>
          <w:sz w:val="28"/>
          <w:szCs w:val="28"/>
        </w:rPr>
        <w:t>а</w:t>
      </w:r>
      <w:r w:rsidRPr="00EB253F">
        <w:rPr>
          <w:rFonts w:ascii="Times New Roman" w:hAnsi="Times New Roman"/>
          <w:sz w:val="28"/>
          <w:szCs w:val="28"/>
        </w:rPr>
        <w:t>зател</w:t>
      </w:r>
      <w:r>
        <w:rPr>
          <w:rFonts w:ascii="Times New Roman" w:hAnsi="Times New Roman"/>
          <w:sz w:val="28"/>
          <w:szCs w:val="28"/>
        </w:rPr>
        <w:t>ям</w:t>
      </w:r>
      <w:r w:rsidRPr="00EB253F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B253F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 xml:space="preserve"> общих</w:t>
      </w:r>
      <w:proofErr w:type="gramEnd"/>
      <w:r w:rsidRPr="00EB253F">
        <w:rPr>
          <w:rFonts w:ascii="Times New Roman" w:hAnsi="Times New Roman"/>
          <w:sz w:val="28"/>
          <w:szCs w:val="28"/>
        </w:rPr>
        <w:t xml:space="preserve"> задач и цели с испол</w:t>
      </w:r>
      <w:r w:rsidRPr="00EB253F">
        <w:rPr>
          <w:rFonts w:ascii="Times New Roman" w:hAnsi="Times New Roman"/>
          <w:sz w:val="28"/>
          <w:szCs w:val="28"/>
        </w:rPr>
        <w:t>ь</w:t>
      </w:r>
      <w:r w:rsidRPr="00EB253F">
        <w:rPr>
          <w:rFonts w:ascii="Times New Roman" w:hAnsi="Times New Roman"/>
          <w:sz w:val="28"/>
          <w:szCs w:val="28"/>
        </w:rPr>
        <w:t>зованием только внешних источников, методология и периодичность расч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>тов которых меня</w:t>
      </w:r>
      <w:r>
        <w:rPr>
          <w:rFonts w:ascii="Times New Roman" w:hAnsi="Times New Roman"/>
          <w:sz w:val="28"/>
          <w:szCs w:val="28"/>
        </w:rPr>
        <w:t>лись</w:t>
      </w:r>
      <w:r w:rsidRPr="00EB253F">
        <w:rPr>
          <w:rFonts w:ascii="Times New Roman" w:hAnsi="Times New Roman"/>
          <w:sz w:val="28"/>
          <w:szCs w:val="28"/>
        </w:rPr>
        <w:t xml:space="preserve"> на протяжении </w:t>
      </w:r>
      <w:r>
        <w:rPr>
          <w:rFonts w:ascii="Times New Roman" w:hAnsi="Times New Roman"/>
          <w:sz w:val="28"/>
          <w:szCs w:val="28"/>
        </w:rPr>
        <w:t>реализации</w:t>
      </w:r>
      <w:r w:rsidRPr="00EB253F">
        <w:rPr>
          <w:rFonts w:ascii="Times New Roman" w:hAnsi="Times New Roman"/>
          <w:sz w:val="28"/>
          <w:szCs w:val="28"/>
        </w:rPr>
        <w:t>, вызвало определенные трудн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сти. 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Оценка НАС 2011–2016 выявила необходимость более гибкой архите</w:t>
      </w:r>
      <w:r w:rsidRPr="00EB253F">
        <w:rPr>
          <w:rFonts w:ascii="Times New Roman" w:hAnsi="Times New Roman"/>
          <w:sz w:val="28"/>
          <w:szCs w:val="28"/>
        </w:rPr>
        <w:t>к</w:t>
      </w:r>
      <w:r w:rsidRPr="00EB253F">
        <w:rPr>
          <w:rFonts w:ascii="Times New Roman" w:hAnsi="Times New Roman"/>
          <w:sz w:val="28"/>
          <w:szCs w:val="28"/>
        </w:rPr>
        <w:t>туры для новой антикоррупционной стратегии, предлагая структуру, опира</w:t>
      </w:r>
      <w:r w:rsidRPr="00EB253F">
        <w:rPr>
          <w:rFonts w:ascii="Times New Roman" w:hAnsi="Times New Roman"/>
          <w:sz w:val="28"/>
          <w:szCs w:val="28"/>
        </w:rPr>
        <w:t>ю</w:t>
      </w:r>
      <w:r w:rsidRPr="00EB253F">
        <w:rPr>
          <w:rFonts w:ascii="Times New Roman" w:hAnsi="Times New Roman"/>
          <w:sz w:val="28"/>
          <w:szCs w:val="28"/>
        </w:rPr>
        <w:t>щуюся на основы неподкупности из оценки «Национальная система непо</w:t>
      </w:r>
      <w:r w:rsidRPr="00EB253F">
        <w:rPr>
          <w:rFonts w:ascii="Times New Roman" w:hAnsi="Times New Roman"/>
          <w:sz w:val="28"/>
          <w:szCs w:val="28"/>
        </w:rPr>
        <w:t>д</w:t>
      </w:r>
      <w:r w:rsidRPr="00EB253F">
        <w:rPr>
          <w:rFonts w:ascii="Times New Roman" w:hAnsi="Times New Roman"/>
          <w:sz w:val="28"/>
          <w:szCs w:val="28"/>
        </w:rPr>
        <w:t>купности»</w:t>
      </w:r>
      <w:r w:rsidRPr="00EB253F"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 w:rsidRPr="00EB253F">
        <w:rPr>
          <w:rFonts w:ascii="Times New Roman" w:hAnsi="Times New Roman"/>
          <w:sz w:val="28"/>
          <w:szCs w:val="28"/>
        </w:rPr>
        <w:t>, осуществленной 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B253F">
        <w:rPr>
          <w:rFonts w:ascii="Times New Roman" w:hAnsi="Times New Roman"/>
          <w:sz w:val="28"/>
          <w:szCs w:val="28"/>
        </w:rPr>
        <w:t>-Молдова, соответственно задачи нового пр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граммного документа должны быть сформулированы более конкретно и быть нацелены на области, уязвимые для коррупции. Также новый программный документ должен отслеживать полученные результаты на всем протяжении его реализации на основе периодически проводимого опроса и по установле</w:t>
      </w:r>
      <w:r w:rsidRPr="00EB253F">
        <w:rPr>
          <w:rFonts w:ascii="Times New Roman" w:hAnsi="Times New Roman"/>
          <w:sz w:val="28"/>
          <w:szCs w:val="28"/>
        </w:rPr>
        <w:t>н</w:t>
      </w:r>
      <w:r w:rsidRPr="00EB253F">
        <w:rPr>
          <w:rFonts w:ascii="Times New Roman" w:hAnsi="Times New Roman"/>
          <w:sz w:val="28"/>
          <w:szCs w:val="28"/>
        </w:rPr>
        <w:t>ной методологии. В качестве источников проверки следует использовать внешние показатели.</w:t>
      </w:r>
    </w:p>
    <w:p w:rsidR="0019475D" w:rsidRPr="003C3BB7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lastRenderedPageBreak/>
        <w:t xml:space="preserve">Постоянная проблема, о которой сообщают действующие лица внутри страны и партнеры по развитию Республики Молдова, это </w:t>
      </w:r>
      <w:r>
        <w:rPr>
          <w:rFonts w:ascii="Times New Roman" w:hAnsi="Times New Roman"/>
          <w:sz w:val="28"/>
          <w:szCs w:val="28"/>
        </w:rPr>
        <w:t>сосредоточение</w:t>
      </w:r>
      <w:r w:rsidRPr="00EB253F">
        <w:rPr>
          <w:rFonts w:ascii="Times New Roman" w:hAnsi="Times New Roman"/>
          <w:sz w:val="28"/>
          <w:szCs w:val="28"/>
        </w:rPr>
        <w:t xml:space="preserve"> усилий по проведению реформ и политик на деятельности по изменению законодательства и институциональной перестройке, при этом аспект эффекти</w:t>
      </w:r>
      <w:r w:rsidRPr="00EB253F">
        <w:rPr>
          <w:rFonts w:ascii="Times New Roman" w:hAnsi="Times New Roman"/>
          <w:sz w:val="28"/>
          <w:szCs w:val="28"/>
        </w:rPr>
        <w:t>в</w:t>
      </w:r>
      <w:r w:rsidRPr="00EB253F">
        <w:rPr>
          <w:rFonts w:ascii="Times New Roman" w:hAnsi="Times New Roman"/>
          <w:sz w:val="28"/>
          <w:szCs w:val="28"/>
        </w:rPr>
        <w:t>ного применения законодательных и институциональных изменений чаще вс</w:t>
      </w:r>
      <w:r w:rsidRPr="00EB253F">
        <w:rPr>
          <w:rFonts w:ascii="Times New Roman" w:hAnsi="Times New Roman"/>
          <w:sz w:val="28"/>
          <w:szCs w:val="28"/>
        </w:rPr>
        <w:t>е</w:t>
      </w:r>
      <w:r w:rsidRPr="00EB253F">
        <w:rPr>
          <w:rFonts w:ascii="Times New Roman" w:hAnsi="Times New Roman"/>
          <w:sz w:val="28"/>
          <w:szCs w:val="28"/>
        </w:rPr>
        <w:t xml:space="preserve">го упускается. Новый антикоррупционный программный документ должен устранить эти недостатки и сосредоточиться на </w:t>
      </w:r>
      <w:r>
        <w:rPr>
          <w:rFonts w:ascii="Times New Roman" w:hAnsi="Times New Roman"/>
          <w:sz w:val="28"/>
          <w:szCs w:val="28"/>
        </w:rPr>
        <w:t>законодательной</w:t>
      </w:r>
      <w:r w:rsidRPr="00EB253F">
        <w:rPr>
          <w:rFonts w:ascii="Times New Roman" w:hAnsi="Times New Roman"/>
          <w:sz w:val="28"/>
          <w:szCs w:val="28"/>
        </w:rPr>
        <w:t xml:space="preserve"> и институц</w:t>
      </w:r>
      <w:r w:rsidRPr="00EB253F">
        <w:rPr>
          <w:rFonts w:ascii="Times New Roman" w:hAnsi="Times New Roman"/>
          <w:sz w:val="28"/>
          <w:szCs w:val="28"/>
        </w:rPr>
        <w:t>и</w:t>
      </w:r>
      <w:r w:rsidRPr="00EB253F">
        <w:rPr>
          <w:rFonts w:ascii="Times New Roman" w:hAnsi="Times New Roman"/>
          <w:sz w:val="28"/>
          <w:szCs w:val="28"/>
        </w:rPr>
        <w:t>ональн</w:t>
      </w:r>
      <w:r>
        <w:rPr>
          <w:rFonts w:ascii="Times New Roman" w:hAnsi="Times New Roman"/>
          <w:sz w:val="28"/>
          <w:szCs w:val="28"/>
        </w:rPr>
        <w:t>ой</w:t>
      </w:r>
      <w:r w:rsidRPr="00EB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базе</w:t>
      </w:r>
      <w:r w:rsidRPr="00EB253F">
        <w:rPr>
          <w:rFonts w:ascii="Times New Roman" w:hAnsi="Times New Roman"/>
          <w:sz w:val="28"/>
          <w:szCs w:val="28"/>
        </w:rPr>
        <w:t xml:space="preserve"> данной области.</w:t>
      </w:r>
      <w:bookmarkEnd w:id="9"/>
    </w:p>
    <w:p w:rsidR="0019475D" w:rsidRPr="00282FA2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color w:val="000000"/>
          <w:sz w:val="28"/>
          <w:szCs w:val="28"/>
        </w:rPr>
        <w:t xml:space="preserve">Важно, чтобы новый антикоррупционный программный документ был взаимосвязан с </w:t>
      </w:r>
      <w:r w:rsidRPr="00EB253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Целями устойчивого развития</w:t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 (ЦУР)</w:t>
      </w:r>
      <w:r w:rsidRPr="00EB253F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11"/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, принятыми странами-членами Организации объединенных наций (ООН) в Нью-Йорке на Саммите по устойчивому развитию, прошедшем 25 сентября 2015 года. Данные цели включены в Повестку дня по </w:t>
      </w:r>
      <w:proofErr w:type="gramStart"/>
      <w:r w:rsidRPr="00EB253F">
        <w:rPr>
          <w:rFonts w:ascii="Times New Roman" w:hAnsi="Times New Roman"/>
          <w:color w:val="000000"/>
          <w:sz w:val="28"/>
          <w:szCs w:val="28"/>
        </w:rPr>
        <w:t>устойчивому</w:t>
      </w:r>
      <w:proofErr w:type="gramEnd"/>
      <w:r w:rsidRPr="00EB253F">
        <w:rPr>
          <w:rFonts w:ascii="Times New Roman" w:hAnsi="Times New Roman"/>
          <w:color w:val="000000"/>
          <w:sz w:val="28"/>
          <w:szCs w:val="28"/>
        </w:rPr>
        <w:t xml:space="preserve"> развитию–2030 и направлены на ликвидацию до 2030 года бедности, на борьбу с неравенством и несправедл</w:t>
      </w:r>
      <w:r w:rsidRPr="00EB253F">
        <w:rPr>
          <w:rFonts w:ascii="Times New Roman" w:hAnsi="Times New Roman"/>
          <w:color w:val="000000"/>
          <w:sz w:val="28"/>
          <w:szCs w:val="28"/>
        </w:rPr>
        <w:t>и</w:t>
      </w:r>
      <w:r w:rsidRPr="00EB253F">
        <w:rPr>
          <w:rFonts w:ascii="Times New Roman" w:hAnsi="Times New Roman"/>
          <w:color w:val="000000"/>
          <w:sz w:val="28"/>
          <w:szCs w:val="28"/>
        </w:rPr>
        <w:t>востью. С точки зрения нового антикоррупционного документа для Республ</w:t>
      </w:r>
      <w:r w:rsidRPr="00EB253F">
        <w:rPr>
          <w:rFonts w:ascii="Times New Roman" w:hAnsi="Times New Roman"/>
          <w:color w:val="000000"/>
          <w:sz w:val="28"/>
          <w:szCs w:val="28"/>
        </w:rPr>
        <w:t>и</w:t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ки Молдова особо важна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B253F">
        <w:rPr>
          <w:rFonts w:ascii="Times New Roman" w:hAnsi="Times New Roman"/>
          <w:color w:val="000000"/>
          <w:sz w:val="28"/>
          <w:szCs w:val="28"/>
        </w:rPr>
        <w:t xml:space="preserve">ель 16 Повестки дня по устойчивому развитию–2030, которая состоит в </w:t>
      </w:r>
      <w:r w:rsidRPr="004157DC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EB253F">
        <w:rPr>
          <w:rFonts w:ascii="Times New Roman" w:hAnsi="Times New Roman"/>
          <w:i/>
          <w:iCs/>
          <w:sz w:val="28"/>
          <w:szCs w:val="28"/>
        </w:rPr>
        <w:t>содействии построению миролюбивого и открытого общества в интересах устойчивого развития, обеспечении доступа к прав</w:t>
      </w:r>
      <w:r w:rsidRPr="00EB253F">
        <w:rPr>
          <w:rFonts w:ascii="Times New Roman" w:hAnsi="Times New Roman"/>
          <w:i/>
          <w:iCs/>
          <w:sz w:val="28"/>
          <w:szCs w:val="28"/>
        </w:rPr>
        <w:t>о</w:t>
      </w:r>
      <w:r w:rsidRPr="00EB253F">
        <w:rPr>
          <w:rFonts w:ascii="Times New Roman" w:hAnsi="Times New Roman"/>
          <w:i/>
          <w:iCs/>
          <w:sz w:val="28"/>
          <w:szCs w:val="28"/>
        </w:rPr>
        <w:t xml:space="preserve">судию для всех и создании эффективных, </w:t>
      </w:r>
      <w:r>
        <w:rPr>
          <w:rFonts w:ascii="Times New Roman" w:hAnsi="Times New Roman"/>
          <w:i/>
          <w:iCs/>
          <w:sz w:val="28"/>
          <w:szCs w:val="28"/>
        </w:rPr>
        <w:t>ответственных</w:t>
      </w:r>
      <w:r w:rsidRPr="00EB253F">
        <w:rPr>
          <w:rFonts w:ascii="Times New Roman" w:hAnsi="Times New Roman"/>
          <w:i/>
          <w:iCs/>
          <w:sz w:val="28"/>
          <w:szCs w:val="28"/>
        </w:rPr>
        <w:t xml:space="preserve"> и основанных на широком участии учреждений на всех уровнях</w:t>
      </w:r>
      <w:r w:rsidRPr="004157DC">
        <w:rPr>
          <w:rFonts w:ascii="Times New Roman" w:hAnsi="Times New Roman"/>
          <w:iCs/>
          <w:sz w:val="28"/>
          <w:szCs w:val="28"/>
        </w:rPr>
        <w:t>»</w:t>
      </w:r>
      <w:r w:rsidRPr="00EB253F">
        <w:rPr>
          <w:rFonts w:ascii="Times New Roman" w:hAnsi="Times New Roman"/>
          <w:i/>
          <w:iCs/>
          <w:sz w:val="28"/>
          <w:szCs w:val="28"/>
        </w:rPr>
        <w:t>.</w:t>
      </w:r>
      <w:r w:rsidRPr="00EB253F">
        <w:rPr>
          <w:rFonts w:ascii="Times New Roman" w:hAnsi="Times New Roman"/>
          <w:sz w:val="28"/>
          <w:szCs w:val="28"/>
        </w:rPr>
        <w:t xml:space="preserve"> Следует учитывать, в частн</w:t>
      </w:r>
      <w:r w:rsidRPr="00EB253F"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сти, конкретные задачи, относящиеся к данной цели: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253F">
        <w:rPr>
          <w:rFonts w:ascii="Times New Roman" w:hAnsi="Times New Roman"/>
          <w:sz w:val="28"/>
          <w:szCs w:val="28"/>
        </w:rPr>
        <w:t>16.4. [...]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B253F">
        <w:rPr>
          <w:rFonts w:ascii="Times New Roman" w:hAnsi="Times New Roman"/>
          <w:sz w:val="28"/>
          <w:szCs w:val="28"/>
        </w:rPr>
        <w:t>начительно сократить незаконные финансовые потоки [...], активизировать деятельность по обнаружению и</w:t>
      </w:r>
      <w:r>
        <w:rPr>
          <w:rFonts w:ascii="Times New Roman" w:hAnsi="Times New Roman"/>
          <w:sz w:val="28"/>
          <w:szCs w:val="28"/>
        </w:rPr>
        <w:t xml:space="preserve"> возвращению похищенных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тивов </w:t>
      </w:r>
      <w:r w:rsidRPr="00EB253F">
        <w:rPr>
          <w:rFonts w:ascii="Times New Roman" w:hAnsi="Times New Roman"/>
          <w:sz w:val="28"/>
          <w:szCs w:val="28"/>
        </w:rPr>
        <w:t xml:space="preserve">[...];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16.5. </w:t>
      </w:r>
      <w:r>
        <w:rPr>
          <w:rFonts w:ascii="Times New Roman" w:hAnsi="Times New Roman"/>
          <w:sz w:val="28"/>
          <w:szCs w:val="28"/>
        </w:rPr>
        <w:t>з</w:t>
      </w:r>
      <w:r w:rsidRPr="00EB253F">
        <w:rPr>
          <w:rFonts w:ascii="Times New Roman" w:hAnsi="Times New Roman"/>
          <w:sz w:val="28"/>
          <w:szCs w:val="28"/>
        </w:rPr>
        <w:t xml:space="preserve">начительно сократить масштабы коррупции и взяточничества во всех их формах;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16.6. </w:t>
      </w:r>
      <w:r>
        <w:rPr>
          <w:rFonts w:ascii="Times New Roman" w:hAnsi="Times New Roman"/>
          <w:sz w:val="28"/>
          <w:szCs w:val="28"/>
        </w:rPr>
        <w:t>с</w:t>
      </w:r>
      <w:r w:rsidRPr="00EB253F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>ответствен</w:t>
      </w:r>
      <w:r w:rsidRPr="00EB253F">
        <w:rPr>
          <w:rFonts w:ascii="Times New Roman" w:hAnsi="Times New Roman"/>
          <w:sz w:val="28"/>
          <w:szCs w:val="28"/>
        </w:rPr>
        <w:t xml:space="preserve">ные и прозрачные учреждения на всех уровнях;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16.7. </w:t>
      </w:r>
      <w:r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 xml:space="preserve">беспечить ответственное принятие решений 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EB253F">
        <w:rPr>
          <w:rFonts w:ascii="Times New Roman" w:hAnsi="Times New Roman"/>
          <w:sz w:val="28"/>
          <w:szCs w:val="28"/>
        </w:rPr>
        <w:t xml:space="preserve">ными органами на всех уровнях с участием всех слоев общества; </w:t>
      </w:r>
    </w:p>
    <w:p w:rsidR="0019475D" w:rsidRPr="00EB253F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16.10. </w:t>
      </w:r>
      <w:r>
        <w:rPr>
          <w:rFonts w:ascii="Times New Roman" w:hAnsi="Times New Roman"/>
          <w:sz w:val="28"/>
          <w:szCs w:val="28"/>
        </w:rPr>
        <w:t>о</w:t>
      </w:r>
      <w:r w:rsidRPr="00EB253F">
        <w:rPr>
          <w:rFonts w:ascii="Times New Roman" w:hAnsi="Times New Roman"/>
          <w:sz w:val="28"/>
          <w:szCs w:val="28"/>
        </w:rPr>
        <w:t>беспечить доступ общественности к информации и защитить о</w:t>
      </w:r>
      <w:r w:rsidRPr="00EB253F">
        <w:rPr>
          <w:rFonts w:ascii="Times New Roman" w:hAnsi="Times New Roman"/>
          <w:sz w:val="28"/>
          <w:szCs w:val="28"/>
        </w:rPr>
        <w:t>с</w:t>
      </w:r>
      <w:r w:rsidRPr="00EB253F">
        <w:rPr>
          <w:rFonts w:ascii="Times New Roman" w:hAnsi="Times New Roman"/>
          <w:sz w:val="28"/>
          <w:szCs w:val="28"/>
        </w:rPr>
        <w:t xml:space="preserve">новные свободы [...] и </w:t>
      </w: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 xml:space="preserve">16.b. </w:t>
      </w:r>
      <w:r>
        <w:rPr>
          <w:rFonts w:ascii="Times New Roman" w:hAnsi="Times New Roman"/>
          <w:sz w:val="28"/>
          <w:szCs w:val="28"/>
        </w:rPr>
        <w:t>п</w:t>
      </w:r>
      <w:r w:rsidRPr="00EB253F">
        <w:rPr>
          <w:rFonts w:ascii="Times New Roman" w:hAnsi="Times New Roman"/>
          <w:sz w:val="28"/>
          <w:szCs w:val="28"/>
        </w:rPr>
        <w:t>оощрять и проводить в жизнь недискриминационные законы и политик</w:t>
      </w:r>
      <w:r>
        <w:rPr>
          <w:rFonts w:ascii="Times New Roman" w:hAnsi="Times New Roman"/>
          <w:sz w:val="28"/>
          <w:szCs w:val="28"/>
        </w:rPr>
        <w:t>у</w:t>
      </w:r>
      <w:r w:rsidRPr="00EB253F">
        <w:rPr>
          <w:rFonts w:ascii="Times New Roman" w:hAnsi="Times New Roman"/>
          <w:sz w:val="28"/>
          <w:szCs w:val="28"/>
        </w:rPr>
        <w:t xml:space="preserve"> в интересах устойчивого развития</w:t>
      </w:r>
      <w:proofErr w:type="gramStart"/>
      <w:r w:rsidRPr="00EB253F">
        <w:rPr>
          <w:rFonts w:ascii="Times New Roman" w:hAnsi="Times New Roman"/>
          <w:sz w:val="28"/>
          <w:szCs w:val="28"/>
        </w:rPr>
        <w:t>.</w:t>
      </w:r>
      <w:bookmarkStart w:id="18" w:name="_Toc461605386"/>
      <w:bookmarkStart w:id="19" w:name="_Toc468129264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9475D" w:rsidRDefault="0019475D" w:rsidP="0019475D">
      <w:pPr>
        <w:pStyle w:val="Heading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pStyle w:val="Heading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Раздел II</w:t>
      </w: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253F">
        <w:rPr>
          <w:rFonts w:ascii="Times New Roman" w:hAnsi="Times New Roman"/>
          <w:sz w:val="28"/>
          <w:szCs w:val="28"/>
        </w:rPr>
        <w:t>ЦЕЛЬ, ОБЩИЕ И СПЕЦИАЛЬНЫЕ ЗАДАЧИ</w:t>
      </w: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9475D" w:rsidRPr="00B53E0A" w:rsidRDefault="0019475D" w:rsidP="0019475D">
      <w:pPr>
        <w:pStyle w:val="Heading1"/>
        <w:keepNext w:val="0"/>
        <w:widowControl w:val="0"/>
        <w:tabs>
          <w:tab w:val="center" w:pos="467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B253F">
        <w:rPr>
          <w:rFonts w:ascii="Times New Roman" w:hAnsi="Times New Roman"/>
          <w:sz w:val="28"/>
          <w:szCs w:val="28"/>
        </w:rPr>
        <w:t>Целью, общими и специальными задачами Стратегии являются:</w:t>
      </w:r>
    </w:p>
    <w:p w:rsidR="0019475D" w:rsidRDefault="0019475D" w:rsidP="0019475D">
      <w:r>
        <w:rPr>
          <w:noProof/>
          <w:lang w:val="en-GB" w:eastAsia="en-GB"/>
        </w:rPr>
        <w:lastRenderedPageBreak/>
        <w:drawing>
          <wp:inline distT="0" distB="0" distL="0" distR="0">
            <wp:extent cx="5908040" cy="835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8"/>
    <w:bookmarkEnd w:id="19"/>
    <w:p w:rsidR="0019475D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A75">
        <w:rPr>
          <w:rFonts w:ascii="Times New Roman" w:hAnsi="Times New Roman"/>
          <w:sz w:val="28"/>
          <w:szCs w:val="28"/>
        </w:rPr>
        <w:lastRenderedPageBreak/>
        <w:t>Раздел III</w:t>
      </w:r>
    </w:p>
    <w:p w:rsidR="0019475D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ОПОРЫ НЕПОДКУПНОСТИ: </w:t>
      </w:r>
    </w:p>
    <w:p w:rsidR="0019475D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ОПРЕДЕЛЕНИЕ ПРОБЛЕМ, МЕРЫ ПО ВЫПОЛНЕНИЮ </w:t>
      </w:r>
    </w:p>
    <w:p w:rsidR="0019475D" w:rsidRPr="00C20E88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ЗАДАЧ, РЕЗУЛЬТАТЫ И ПОКАЗАТЕЛИ</w:t>
      </w:r>
      <w:bookmarkEnd w:id="0"/>
      <w:bookmarkEnd w:id="1"/>
      <w:bookmarkEnd w:id="2"/>
      <w:bookmarkEnd w:id="3"/>
      <w:bookmarkEnd w:id="4"/>
      <w:bookmarkEnd w:id="5"/>
      <w:bookmarkEnd w:id="6"/>
    </w:p>
    <w:p w:rsidR="0019475D" w:rsidRDefault="0019475D" w:rsidP="0019475D">
      <w:pPr>
        <w:pStyle w:val="FootnoteTex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475D" w:rsidRPr="00C20E88" w:rsidRDefault="0019475D" w:rsidP="0019475D">
      <w:pPr>
        <w:pStyle w:val="FootnoteTex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20E88">
        <w:rPr>
          <w:rFonts w:ascii="Times New Roman" w:hAnsi="Times New Roman"/>
          <w:sz w:val="28"/>
          <w:szCs w:val="28"/>
          <w:lang w:eastAsia="x-none"/>
        </w:rPr>
        <w:t>Национальная система неподкупности зиждется на опорны</w:t>
      </w:r>
      <w:r>
        <w:rPr>
          <w:rFonts w:ascii="Times New Roman" w:hAnsi="Times New Roman"/>
          <w:sz w:val="28"/>
          <w:szCs w:val="28"/>
          <w:lang w:eastAsia="x-none"/>
        </w:rPr>
        <w:t>х</w:t>
      </w:r>
      <w:r w:rsidRPr="00C20E88">
        <w:rPr>
          <w:rFonts w:ascii="Times New Roman" w:hAnsi="Times New Roman"/>
          <w:sz w:val="28"/>
          <w:szCs w:val="28"/>
          <w:lang w:eastAsia="x-none"/>
        </w:rPr>
        <w:t xml:space="preserve"> учрежден</w:t>
      </w:r>
      <w:r w:rsidRPr="00C20E88">
        <w:rPr>
          <w:rFonts w:ascii="Times New Roman" w:hAnsi="Times New Roman"/>
          <w:sz w:val="28"/>
          <w:szCs w:val="28"/>
          <w:lang w:eastAsia="x-none"/>
        </w:rPr>
        <w:t>и</w:t>
      </w:r>
      <w:r w:rsidRPr="00C20E88">
        <w:rPr>
          <w:rFonts w:ascii="Times New Roman" w:hAnsi="Times New Roman"/>
          <w:sz w:val="28"/>
          <w:szCs w:val="28"/>
          <w:lang w:eastAsia="x-none"/>
        </w:rPr>
        <w:t>я</w:t>
      </w:r>
      <w:r>
        <w:rPr>
          <w:rFonts w:ascii="Times New Roman" w:hAnsi="Times New Roman"/>
          <w:sz w:val="28"/>
          <w:szCs w:val="28"/>
          <w:lang w:eastAsia="x-none"/>
        </w:rPr>
        <w:t>х</w:t>
      </w:r>
      <w:r w:rsidRPr="00C20E88">
        <w:rPr>
          <w:rFonts w:ascii="Times New Roman" w:hAnsi="Times New Roman"/>
          <w:sz w:val="28"/>
          <w:szCs w:val="28"/>
          <w:lang w:eastAsia="x-none"/>
        </w:rPr>
        <w:t xml:space="preserve"> и сектор</w:t>
      </w:r>
      <w:r>
        <w:rPr>
          <w:rFonts w:ascii="Times New Roman" w:hAnsi="Times New Roman"/>
          <w:sz w:val="28"/>
          <w:szCs w:val="28"/>
          <w:lang w:eastAsia="x-none"/>
        </w:rPr>
        <w:t>ах</w:t>
      </w:r>
      <w:r w:rsidRPr="00C20E88">
        <w:rPr>
          <w:rFonts w:ascii="Times New Roman" w:hAnsi="Times New Roman"/>
          <w:sz w:val="28"/>
          <w:szCs w:val="28"/>
          <w:lang w:eastAsia="x-none"/>
        </w:rPr>
        <w:t xml:space="preserve">, фундаментом которых является общество. Ненадлежащее функционирование учреждений и секторов дискредитирует </w:t>
      </w:r>
      <w:r>
        <w:rPr>
          <w:rFonts w:ascii="Times New Roman" w:hAnsi="Times New Roman"/>
          <w:sz w:val="28"/>
          <w:szCs w:val="28"/>
          <w:lang w:eastAsia="x-none"/>
        </w:rPr>
        <w:t>национальную с</w:t>
      </w:r>
      <w:r>
        <w:rPr>
          <w:rFonts w:ascii="Times New Roman" w:hAnsi="Times New Roman"/>
          <w:sz w:val="28"/>
          <w:szCs w:val="28"/>
          <w:lang w:eastAsia="x-none"/>
        </w:rPr>
        <w:t>и</w:t>
      </w:r>
      <w:r>
        <w:rPr>
          <w:rFonts w:ascii="Times New Roman" w:hAnsi="Times New Roman"/>
          <w:sz w:val="28"/>
          <w:szCs w:val="28"/>
          <w:lang w:eastAsia="x-none"/>
        </w:rPr>
        <w:t>стему неподкупности</w:t>
      </w:r>
      <w:r w:rsidRPr="00C20E88">
        <w:rPr>
          <w:rFonts w:ascii="Times New Roman" w:hAnsi="Times New Roman"/>
          <w:sz w:val="28"/>
          <w:szCs w:val="28"/>
          <w:lang w:eastAsia="x-none"/>
        </w:rPr>
        <w:t xml:space="preserve"> и правовое государство в целом, негативно влияя на с</w:t>
      </w:r>
      <w:r w:rsidRPr="00C20E88">
        <w:rPr>
          <w:rFonts w:ascii="Times New Roman" w:hAnsi="Times New Roman"/>
          <w:sz w:val="28"/>
          <w:szCs w:val="28"/>
          <w:lang w:eastAsia="x-none"/>
        </w:rPr>
        <w:t>о</w:t>
      </w:r>
      <w:r w:rsidRPr="00C20E88">
        <w:rPr>
          <w:rFonts w:ascii="Times New Roman" w:hAnsi="Times New Roman"/>
          <w:sz w:val="28"/>
          <w:szCs w:val="28"/>
          <w:lang w:eastAsia="x-none"/>
        </w:rPr>
        <w:t xml:space="preserve">циальное благополучие. Настоящая Стратегия разработана </w:t>
      </w:r>
      <w:proofErr w:type="gramStart"/>
      <w:r w:rsidRPr="00C20E88">
        <w:rPr>
          <w:rFonts w:ascii="Times New Roman" w:hAnsi="Times New Roman"/>
          <w:sz w:val="28"/>
          <w:szCs w:val="28"/>
          <w:lang w:eastAsia="x-none"/>
        </w:rPr>
        <w:t xml:space="preserve">исходя из оценки </w:t>
      </w:r>
      <w:r>
        <w:rPr>
          <w:rFonts w:ascii="Times New Roman" w:hAnsi="Times New Roman"/>
          <w:sz w:val="28"/>
          <w:szCs w:val="28"/>
          <w:lang w:eastAsia="x-none"/>
        </w:rPr>
        <w:t>национальной системы неподкупности</w:t>
      </w:r>
      <w:r w:rsidRPr="00C20E88">
        <w:rPr>
          <w:rStyle w:val="FootnoteReference"/>
          <w:rFonts w:ascii="Times New Roman" w:hAnsi="Times New Roman"/>
          <w:sz w:val="28"/>
          <w:szCs w:val="28"/>
          <w:lang w:eastAsia="x-none"/>
        </w:rPr>
        <w:footnoteReference w:id="12"/>
      </w:r>
      <w:r w:rsidRPr="00C20E88">
        <w:rPr>
          <w:rFonts w:ascii="Times New Roman" w:hAnsi="Times New Roman"/>
          <w:sz w:val="28"/>
          <w:szCs w:val="28"/>
          <w:lang w:eastAsia="x-none"/>
        </w:rPr>
        <w:t>, и основывается</w:t>
      </w:r>
      <w:proofErr w:type="gramEnd"/>
      <w:r w:rsidRPr="00C20E88">
        <w:rPr>
          <w:rFonts w:ascii="Times New Roman" w:hAnsi="Times New Roman"/>
          <w:sz w:val="28"/>
          <w:szCs w:val="28"/>
          <w:lang w:eastAsia="x-none"/>
        </w:rPr>
        <w:t xml:space="preserve"> на следующих оп</w:t>
      </w:r>
      <w:r w:rsidRPr="00C20E88">
        <w:rPr>
          <w:rFonts w:ascii="Times New Roman" w:hAnsi="Times New Roman"/>
          <w:sz w:val="28"/>
          <w:szCs w:val="28"/>
          <w:lang w:eastAsia="x-none"/>
        </w:rPr>
        <w:t>о</w:t>
      </w:r>
      <w:r w:rsidRPr="00C20E88">
        <w:rPr>
          <w:rFonts w:ascii="Times New Roman" w:hAnsi="Times New Roman"/>
          <w:sz w:val="28"/>
          <w:szCs w:val="28"/>
          <w:lang w:eastAsia="x-none"/>
        </w:rPr>
        <w:t>р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C20E88">
        <w:rPr>
          <w:rFonts w:ascii="Times New Roman" w:hAnsi="Times New Roman"/>
          <w:sz w:val="28"/>
          <w:szCs w:val="28"/>
          <w:lang w:eastAsia="x-none"/>
        </w:rPr>
        <w:t>х неподкупности: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Парламент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Правительство, публичный сектор и местное публичное управление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Правосудие и антикоррупционные органы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Центральная избирательная комиссия и политические партии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Счетная палата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Народный адвокат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Частный сектор</w:t>
      </w:r>
    </w:p>
    <w:p w:rsidR="0019475D" w:rsidRPr="00C20E88" w:rsidRDefault="0019475D" w:rsidP="0019475D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Гражданское общество и средства массовой информации.</w:t>
      </w: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Для первых семи опор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Стратегии приведены проблемы, конкретные задачи цели устойчивого развития ООН № 16, соответств</w:t>
      </w:r>
      <w:r>
        <w:rPr>
          <w:rFonts w:ascii="Times New Roman" w:hAnsi="Times New Roman"/>
          <w:sz w:val="28"/>
          <w:szCs w:val="28"/>
        </w:rPr>
        <w:t>ующие</w:t>
      </w:r>
      <w:r w:rsidRPr="00C20E88">
        <w:rPr>
          <w:rFonts w:ascii="Times New Roman" w:hAnsi="Times New Roman"/>
          <w:sz w:val="28"/>
          <w:szCs w:val="28"/>
        </w:rPr>
        <w:t xml:space="preserve"> опор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, зад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чи опор, показатели влияния, приоритеты для решения проблем, ожидаемые результаты и показатели результатов. Гражданское общество и средства масс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вой информации (опор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20E88">
        <w:rPr>
          <w:rFonts w:ascii="Times New Roman" w:hAnsi="Times New Roman"/>
          <w:sz w:val="28"/>
          <w:szCs w:val="28"/>
        </w:rPr>
        <w:t xml:space="preserve">VIII) играют важную роль в </w:t>
      </w: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ациональной системе неподкупности. Они могут способствовать эффективно</w:t>
      </w:r>
      <w:r>
        <w:rPr>
          <w:rFonts w:ascii="Times New Roman" w:hAnsi="Times New Roman"/>
          <w:sz w:val="28"/>
          <w:szCs w:val="28"/>
        </w:rPr>
        <w:t>й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Pr="00C20E88">
        <w:rPr>
          <w:rFonts w:ascii="Times New Roman" w:hAnsi="Times New Roman"/>
          <w:sz w:val="28"/>
          <w:szCs w:val="28"/>
        </w:rPr>
        <w:t xml:space="preserve"> Стратегии посредством независимого и непредвзятого монит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ринга, а также путем беспристрастного информирования общества о недостатках си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темы.</w:t>
      </w: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Мероприятия по реализации приоритетных задач опор I–VII включ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ны в План действий на 2017–2020 годы, и сосредоточены больше на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20E88">
        <w:rPr>
          <w:rFonts w:ascii="Times New Roman" w:hAnsi="Times New Roman"/>
          <w:sz w:val="28"/>
          <w:szCs w:val="28"/>
        </w:rPr>
        <w:t>законов, принятых до 2017 года, чем на принятии новых зак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нов.</w:t>
      </w:r>
      <w:bookmarkStart w:id="20" w:name="_Toc461617387"/>
      <w:bookmarkStart w:id="21" w:name="_Toc461617286"/>
    </w:p>
    <w:p w:rsidR="0019475D" w:rsidRDefault="0019475D" w:rsidP="0019475D">
      <w:pPr>
        <w:pStyle w:val="Heading2"/>
        <w:keepNext w:val="0"/>
        <w:widowControl w:val="0"/>
        <w:spacing w:before="0" w:after="0" w:line="240" w:lineRule="auto"/>
        <w:ind w:firstLine="709"/>
        <w:rPr>
          <w:rFonts w:ascii="Times New Roman" w:hAnsi="Times New Roman"/>
          <w:iCs w:val="0"/>
          <w:color w:val="002060"/>
        </w:rPr>
      </w:pPr>
      <w:bookmarkStart w:id="22" w:name="_Toc468129266"/>
    </w:p>
    <w:p w:rsidR="0019475D" w:rsidRPr="00C20E88" w:rsidRDefault="0019475D" w:rsidP="0019475D">
      <w:pPr>
        <w:pStyle w:val="Heading2"/>
        <w:keepNext w:val="0"/>
        <w:widowControl w:val="0"/>
        <w:spacing w:before="0" w:after="0" w:line="240" w:lineRule="auto"/>
        <w:ind w:firstLine="709"/>
        <w:rPr>
          <w:rFonts w:ascii="Times New Roman" w:hAnsi="Times New Roman"/>
          <w:color w:val="002060"/>
        </w:rPr>
      </w:pPr>
      <w:r w:rsidRPr="00C20E88">
        <w:rPr>
          <w:rFonts w:ascii="Times New Roman" w:hAnsi="Times New Roman"/>
          <w:iCs w:val="0"/>
          <w:color w:val="002060"/>
        </w:rPr>
        <w:t>Опор</w:t>
      </w:r>
      <w:r>
        <w:rPr>
          <w:rFonts w:ascii="Times New Roman" w:hAnsi="Times New Roman"/>
          <w:iCs w:val="0"/>
          <w:color w:val="002060"/>
        </w:rPr>
        <w:t>а</w:t>
      </w:r>
      <w:r w:rsidRPr="00C20E88">
        <w:rPr>
          <w:rFonts w:ascii="Times New Roman" w:hAnsi="Times New Roman"/>
          <w:iCs w:val="0"/>
          <w:color w:val="002060"/>
        </w:rPr>
        <w:t xml:space="preserve"> I. Парламент</w:t>
      </w:r>
      <w:bookmarkEnd w:id="20"/>
      <w:bookmarkEnd w:id="21"/>
      <w:bookmarkEnd w:id="22"/>
      <w:r w:rsidRPr="00C20E88">
        <w:rPr>
          <w:rFonts w:ascii="Times New Roman" w:hAnsi="Times New Roman"/>
          <w:b w:val="0"/>
          <w:bCs w:val="0"/>
          <w:iCs w:val="0"/>
          <w:color w:val="002060"/>
        </w:rPr>
        <w:t xml:space="preserve"> </w:t>
      </w:r>
    </w:p>
    <w:p w:rsidR="0019475D" w:rsidRPr="00C20E88" w:rsidRDefault="0019475D" w:rsidP="0019475D">
      <w:pPr>
        <w:spacing w:after="0" w:line="240" w:lineRule="auto"/>
        <w:ind w:firstLine="709"/>
        <w:rPr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Описание проблемы: </w:t>
      </w:r>
      <w:r w:rsidRPr="00C20E88">
        <w:rPr>
          <w:rFonts w:ascii="Times New Roman" w:hAnsi="Times New Roman"/>
          <w:sz w:val="28"/>
          <w:szCs w:val="28"/>
        </w:rPr>
        <w:t>Опрос общественного мнения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проведенный Ме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>дународным республиканским институтом (</w:t>
      </w:r>
      <w:proofErr w:type="gramStart"/>
      <w:r w:rsidRPr="00C20E88">
        <w:rPr>
          <w:rFonts w:ascii="Times New Roman" w:hAnsi="Times New Roman"/>
          <w:sz w:val="28"/>
          <w:szCs w:val="28"/>
        </w:rPr>
        <w:t>МРИ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) весной 2017 года среди </w:t>
      </w:r>
      <w:r w:rsidRPr="00C20E88">
        <w:rPr>
          <w:rFonts w:ascii="Times New Roman" w:hAnsi="Times New Roman"/>
          <w:sz w:val="28"/>
          <w:szCs w:val="28"/>
        </w:rPr>
        <w:lastRenderedPageBreak/>
        <w:t>жителей Молдовы, показал, что лишь 23 процента респондентов имеют благоприятное мнение о Парламенте Респу</w:t>
      </w:r>
      <w:r w:rsidRPr="00C20E88">
        <w:rPr>
          <w:rFonts w:ascii="Times New Roman" w:hAnsi="Times New Roman"/>
          <w:sz w:val="28"/>
          <w:szCs w:val="28"/>
        </w:rPr>
        <w:t>б</w:t>
      </w:r>
      <w:r w:rsidRPr="00C20E88">
        <w:rPr>
          <w:rFonts w:ascii="Times New Roman" w:hAnsi="Times New Roman"/>
          <w:sz w:val="28"/>
          <w:szCs w:val="28"/>
        </w:rPr>
        <w:t>лики Молдова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13"/>
      </w:r>
      <w:r w:rsidRPr="00C20E88">
        <w:rPr>
          <w:rFonts w:ascii="Times New Roman" w:hAnsi="Times New Roman"/>
          <w:sz w:val="28"/>
          <w:szCs w:val="28"/>
        </w:rPr>
        <w:t xml:space="preserve">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Нормы этики и профессионального поведения депутатов, хоть и попадают под действие общих положений о неподкупности, пока еще не утве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ждены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20E88">
        <w:rPr>
          <w:rFonts w:ascii="Times New Roman" w:hAnsi="Times New Roman"/>
          <w:sz w:val="28"/>
          <w:szCs w:val="28"/>
        </w:rPr>
        <w:t>внедрены в рамках законодательного органа. Согласно последн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му отчету об оценке Республики Молдова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разработанному </w:t>
      </w:r>
      <w:r w:rsidRPr="00C20E88">
        <w:rPr>
          <w:rFonts w:ascii="Times New Roman" w:hAnsi="Times New Roman"/>
          <w:sz w:val="28"/>
          <w:szCs w:val="28"/>
        </w:rPr>
        <w:t>созданной Сов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том Европы Групп</w:t>
      </w:r>
      <w:r>
        <w:rPr>
          <w:rFonts w:ascii="Times New Roman" w:hAnsi="Times New Roman"/>
          <w:sz w:val="28"/>
          <w:szCs w:val="28"/>
        </w:rPr>
        <w:t>ой</w:t>
      </w:r>
      <w:r w:rsidRPr="00C20E88">
        <w:rPr>
          <w:rFonts w:ascii="Times New Roman" w:hAnsi="Times New Roman"/>
          <w:sz w:val="28"/>
          <w:szCs w:val="28"/>
        </w:rPr>
        <w:t xml:space="preserve"> государств по борьбе с коррупцией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910E39">
        <w:rPr>
          <w:rFonts w:ascii="Times New Roman" w:hAnsi="Times New Roman"/>
          <w:i/>
          <w:sz w:val="28"/>
          <w:szCs w:val="28"/>
        </w:rPr>
        <w:t>ГРЕКО</w:t>
      </w:r>
      <w:r w:rsidRPr="00C20E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20E88">
        <w:rPr>
          <w:rFonts w:ascii="Times New Roman" w:hAnsi="Times New Roman"/>
          <w:sz w:val="28"/>
          <w:szCs w:val="28"/>
        </w:rPr>
        <w:t xml:space="preserve"> опубликованному 1 июля 2016 года, рекомендуется принять и внедрить кодекс поведения для депут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тов Парламента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Pr="00C20E88">
        <w:rPr>
          <w:rFonts w:ascii="Times New Roman" w:hAnsi="Times New Roman"/>
          <w:sz w:val="28"/>
          <w:szCs w:val="28"/>
        </w:rPr>
        <w:t xml:space="preserve">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Помимо регулир</w:t>
      </w:r>
      <w:r>
        <w:rPr>
          <w:rFonts w:ascii="Times New Roman" w:hAnsi="Times New Roman"/>
          <w:sz w:val="28"/>
          <w:szCs w:val="28"/>
        </w:rPr>
        <w:t>ующей функции</w:t>
      </w:r>
      <w:r w:rsidRPr="00C20E88">
        <w:rPr>
          <w:rFonts w:ascii="Times New Roman" w:hAnsi="Times New Roman"/>
          <w:sz w:val="28"/>
          <w:szCs w:val="28"/>
        </w:rPr>
        <w:t xml:space="preserve"> Парламенту принадлежит существе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ная роль в борьб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с коррупцией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20E88">
        <w:rPr>
          <w:rFonts w:ascii="Times New Roman" w:hAnsi="Times New Roman"/>
          <w:sz w:val="28"/>
          <w:szCs w:val="28"/>
        </w:rPr>
        <w:t xml:space="preserve"> парламентский </w:t>
      </w:r>
      <w:proofErr w:type="gramStart"/>
      <w:r w:rsidRPr="00C20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исполнением з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конов и функционированием независимых и регулирующих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 xml:space="preserve">о эту роль ни один из созывов пока не выполнил надлежащим образом. 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 xml:space="preserve">росы общественного мнения, проводимые на протяжении </w:t>
      </w:r>
      <w:r>
        <w:rPr>
          <w:rFonts w:ascii="Times New Roman" w:hAnsi="Times New Roman"/>
          <w:sz w:val="28"/>
          <w:szCs w:val="28"/>
        </w:rPr>
        <w:t>мног</w:t>
      </w:r>
      <w:r w:rsidRPr="00C20E88">
        <w:rPr>
          <w:rFonts w:ascii="Times New Roman" w:hAnsi="Times New Roman"/>
          <w:sz w:val="28"/>
          <w:szCs w:val="28"/>
        </w:rPr>
        <w:t xml:space="preserve">их лет, </w:t>
      </w:r>
      <w:r>
        <w:rPr>
          <w:rFonts w:ascii="Times New Roman" w:hAnsi="Times New Roman"/>
          <w:sz w:val="28"/>
          <w:szCs w:val="28"/>
        </w:rPr>
        <w:t>показывают</w:t>
      </w:r>
      <w:r w:rsidRPr="00C20E88">
        <w:rPr>
          <w:rFonts w:ascii="Times New Roman" w:hAnsi="Times New Roman"/>
          <w:sz w:val="28"/>
          <w:szCs w:val="28"/>
        </w:rPr>
        <w:t>, что население считает необходимым усовершенствовать механизм функци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нирования законов для улучшения социально-экономической ситуации в стране.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20E88">
        <w:rPr>
          <w:rFonts w:ascii="Times New Roman" w:hAnsi="Times New Roman"/>
          <w:sz w:val="28"/>
          <w:szCs w:val="28"/>
        </w:rPr>
        <w:t>Сама по себе парламентская деятельность все чаще подвергается крит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ке из-за отсутствия прозрачности законодательного процесса между первым и вторым чтениями: </w:t>
      </w:r>
      <w:r>
        <w:rPr>
          <w:rFonts w:ascii="Times New Roman" w:hAnsi="Times New Roman"/>
          <w:sz w:val="28"/>
          <w:szCs w:val="28"/>
        </w:rPr>
        <w:t>не имеются</w:t>
      </w:r>
      <w:r w:rsidRPr="00C20E88">
        <w:rPr>
          <w:rFonts w:ascii="Times New Roman" w:hAnsi="Times New Roman"/>
          <w:sz w:val="28"/>
          <w:szCs w:val="28"/>
        </w:rPr>
        <w:t xml:space="preserve"> в открытом доступе измененные варианты з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конопроектов с поправками, внесенными депутатами перед принятием зак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нопроекта в последнем чтении. </w:t>
      </w:r>
      <w:r>
        <w:rPr>
          <w:rFonts w:ascii="Times New Roman" w:hAnsi="Times New Roman"/>
          <w:sz w:val="28"/>
          <w:szCs w:val="28"/>
        </w:rPr>
        <w:t>ГРЕКО</w:t>
      </w:r>
      <w:r w:rsidRPr="00C20E88">
        <w:rPr>
          <w:rFonts w:ascii="Times New Roman" w:hAnsi="Times New Roman"/>
          <w:sz w:val="28"/>
          <w:szCs w:val="28"/>
        </w:rPr>
        <w:t xml:space="preserve"> порекомендовала «</w:t>
      </w:r>
      <w:r w:rsidRPr="00C20E88">
        <w:rPr>
          <w:rFonts w:ascii="Times New Roman" w:hAnsi="Times New Roman"/>
          <w:i/>
          <w:iCs/>
          <w:sz w:val="28"/>
          <w:szCs w:val="28"/>
        </w:rPr>
        <w:t>обеспечить (i) сво</w:t>
      </w:r>
      <w:r w:rsidRPr="00C20E88">
        <w:rPr>
          <w:rFonts w:ascii="Times New Roman" w:hAnsi="Times New Roman"/>
          <w:i/>
          <w:iCs/>
          <w:sz w:val="28"/>
          <w:szCs w:val="28"/>
        </w:rPr>
        <w:t>е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временную публикацию всех законопроектов, поправок </w:t>
      </w:r>
      <w:r>
        <w:rPr>
          <w:rFonts w:ascii="Times New Roman" w:hAnsi="Times New Roman"/>
          <w:i/>
          <w:iCs/>
          <w:sz w:val="28"/>
          <w:szCs w:val="28"/>
        </w:rPr>
        <w:t xml:space="preserve">к ним </w:t>
      </w:r>
      <w:r w:rsidRPr="00C20E88">
        <w:rPr>
          <w:rFonts w:ascii="Times New Roman" w:hAnsi="Times New Roman"/>
          <w:i/>
          <w:iCs/>
          <w:sz w:val="28"/>
          <w:szCs w:val="28"/>
        </w:rPr>
        <w:t>и сопровод</w:t>
      </w:r>
      <w:r w:rsidRPr="00C20E88">
        <w:rPr>
          <w:rFonts w:ascii="Times New Roman" w:hAnsi="Times New Roman"/>
          <w:i/>
          <w:iCs/>
          <w:sz w:val="28"/>
          <w:szCs w:val="28"/>
        </w:rPr>
        <w:t>и</w:t>
      </w:r>
      <w:r w:rsidRPr="00C20E88">
        <w:rPr>
          <w:rFonts w:ascii="Times New Roman" w:hAnsi="Times New Roman"/>
          <w:i/>
          <w:iCs/>
          <w:sz w:val="28"/>
          <w:szCs w:val="28"/>
        </w:rPr>
        <w:t>тельных документов и (</w:t>
      </w:r>
      <w:proofErr w:type="spellStart"/>
      <w:r w:rsidRPr="00C20E88">
        <w:rPr>
          <w:rFonts w:ascii="Times New Roman" w:hAnsi="Times New Roman"/>
          <w:i/>
          <w:iCs/>
          <w:sz w:val="28"/>
          <w:szCs w:val="28"/>
        </w:rPr>
        <w:t>ii</w:t>
      </w:r>
      <w:proofErr w:type="spellEnd"/>
      <w:r w:rsidRPr="00C20E88">
        <w:rPr>
          <w:rFonts w:ascii="Times New Roman" w:hAnsi="Times New Roman"/>
          <w:i/>
          <w:iCs/>
          <w:sz w:val="28"/>
          <w:szCs w:val="28"/>
        </w:rPr>
        <w:t>) соблюдение сроков, позволяющих проводить цел</w:t>
      </w:r>
      <w:r w:rsidRPr="00C20E88">
        <w:rPr>
          <w:rFonts w:ascii="Times New Roman" w:hAnsi="Times New Roman"/>
          <w:i/>
          <w:iCs/>
          <w:sz w:val="28"/>
          <w:szCs w:val="28"/>
        </w:rPr>
        <w:t>е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сообразные публичные консультации и парламентские обсуждения, </w:t>
      </w:r>
      <w:r>
        <w:rPr>
          <w:rFonts w:ascii="Times New Roman" w:hAnsi="Times New Roman"/>
          <w:i/>
          <w:iCs/>
          <w:sz w:val="28"/>
          <w:szCs w:val="28"/>
        </w:rPr>
        <w:t>ограничив применение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 срочно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процедуры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 только в исключительных, соотве</w:t>
      </w:r>
      <w:r w:rsidRPr="00C20E88">
        <w:rPr>
          <w:rFonts w:ascii="Times New Roman" w:hAnsi="Times New Roman"/>
          <w:i/>
          <w:iCs/>
          <w:sz w:val="28"/>
          <w:szCs w:val="28"/>
        </w:rPr>
        <w:t>т</w:t>
      </w:r>
      <w:r w:rsidRPr="00C20E88">
        <w:rPr>
          <w:rFonts w:ascii="Times New Roman" w:hAnsi="Times New Roman"/>
          <w:i/>
          <w:iCs/>
          <w:sz w:val="28"/>
          <w:szCs w:val="28"/>
        </w:rPr>
        <w:t>ствующим образом обоснованных случаях</w:t>
      </w:r>
      <w:r w:rsidRPr="004157DC">
        <w:rPr>
          <w:rFonts w:ascii="Times New Roman" w:hAnsi="Times New Roman"/>
          <w:iCs/>
          <w:sz w:val="28"/>
          <w:szCs w:val="28"/>
        </w:rPr>
        <w:t>»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15"/>
      </w:r>
      <w:r w:rsidRPr="00C20E88">
        <w:rPr>
          <w:rFonts w:ascii="Times New Roman" w:hAnsi="Times New Roman"/>
          <w:i/>
          <w:iCs/>
          <w:sz w:val="28"/>
          <w:szCs w:val="28"/>
        </w:rPr>
        <w:t>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У Парламента нет устоявшейся практики информирования о причинах принятия или отклонения предложений, поступивших от гражданского общ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ства. Такие предложения чаще всего не включают</w:t>
      </w:r>
      <w:r>
        <w:rPr>
          <w:rFonts w:ascii="Times New Roman" w:hAnsi="Times New Roman"/>
          <w:sz w:val="28"/>
          <w:szCs w:val="28"/>
        </w:rPr>
        <w:t>ся</w:t>
      </w:r>
      <w:r w:rsidRPr="00C20E88">
        <w:rPr>
          <w:rFonts w:ascii="Times New Roman" w:hAnsi="Times New Roman"/>
          <w:sz w:val="28"/>
          <w:szCs w:val="28"/>
        </w:rPr>
        <w:t xml:space="preserve"> в свод предложений и </w:t>
      </w:r>
      <w:r>
        <w:rPr>
          <w:rFonts w:ascii="Times New Roman" w:hAnsi="Times New Roman"/>
          <w:sz w:val="28"/>
          <w:szCs w:val="28"/>
        </w:rPr>
        <w:t>замечаний</w:t>
      </w:r>
      <w:r w:rsidRPr="00C20E88">
        <w:rPr>
          <w:rFonts w:ascii="Times New Roman" w:hAnsi="Times New Roman"/>
          <w:sz w:val="28"/>
          <w:szCs w:val="28"/>
        </w:rPr>
        <w:t xml:space="preserve"> по проекту и не публикуют</w:t>
      </w:r>
      <w:r>
        <w:rPr>
          <w:rFonts w:ascii="Times New Roman" w:hAnsi="Times New Roman"/>
          <w:sz w:val="28"/>
          <w:szCs w:val="28"/>
        </w:rPr>
        <w:t>ся</w:t>
      </w:r>
      <w:r w:rsidRPr="00C20E88">
        <w:rPr>
          <w:rFonts w:ascii="Times New Roman" w:hAnsi="Times New Roman"/>
          <w:sz w:val="28"/>
          <w:szCs w:val="28"/>
        </w:rPr>
        <w:t xml:space="preserve"> на веб-странице Парламента. Авторам соответствующих предложений не известна ни дальнейшая судьба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следних, ни то, удалось ли им посредством таких предложений </w:t>
      </w:r>
      <w:r>
        <w:rPr>
          <w:rFonts w:ascii="Times New Roman" w:hAnsi="Times New Roman"/>
          <w:sz w:val="28"/>
          <w:szCs w:val="28"/>
        </w:rPr>
        <w:t>содействовать улучшению</w:t>
      </w:r>
      <w:r w:rsidRPr="00C20E88">
        <w:rPr>
          <w:rFonts w:ascii="Times New Roman" w:hAnsi="Times New Roman"/>
          <w:sz w:val="28"/>
          <w:szCs w:val="28"/>
        </w:rPr>
        <w:t xml:space="preserve"> качества з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конов.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Несмотря на </w:t>
      </w:r>
      <w:r>
        <w:rPr>
          <w:rFonts w:ascii="Times New Roman" w:hAnsi="Times New Roman"/>
          <w:sz w:val="28"/>
          <w:szCs w:val="28"/>
        </w:rPr>
        <w:t xml:space="preserve">имеющуюся </w:t>
      </w:r>
      <w:r w:rsidRPr="00C20E88">
        <w:rPr>
          <w:rFonts w:ascii="Times New Roman" w:hAnsi="Times New Roman"/>
          <w:sz w:val="28"/>
          <w:szCs w:val="28"/>
        </w:rPr>
        <w:t>положительную практику регистрации зак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нодательн</w:t>
      </w:r>
      <w:r>
        <w:rPr>
          <w:rFonts w:ascii="Times New Roman" w:hAnsi="Times New Roman"/>
          <w:sz w:val="28"/>
          <w:szCs w:val="28"/>
        </w:rPr>
        <w:t>ых</w:t>
      </w:r>
      <w:r w:rsidRPr="00C20E88">
        <w:rPr>
          <w:rFonts w:ascii="Times New Roman" w:hAnsi="Times New Roman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C20E88">
        <w:rPr>
          <w:rFonts w:ascii="Times New Roman" w:hAnsi="Times New Roman"/>
          <w:sz w:val="28"/>
          <w:szCs w:val="28"/>
        </w:rPr>
        <w:t xml:space="preserve">только при </w:t>
      </w:r>
      <w:r>
        <w:rPr>
          <w:rFonts w:ascii="Times New Roman" w:hAnsi="Times New Roman"/>
          <w:sz w:val="28"/>
          <w:szCs w:val="28"/>
        </w:rPr>
        <w:t>наличии</w:t>
      </w:r>
      <w:r w:rsidRPr="00C20E88">
        <w:rPr>
          <w:rFonts w:ascii="Times New Roman" w:hAnsi="Times New Roman"/>
          <w:sz w:val="28"/>
          <w:szCs w:val="28"/>
        </w:rPr>
        <w:t xml:space="preserve"> отчета об антикорру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ционной экспертизе Парламент допускает регистрацию инициатив, исх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дящих от других авторов (к примеру, от Правительства), даже если они не сопрово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>даются такими отчетами. Предложения, содержащиеся в отчетах об антико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рупционной экспертизе, не всегда включаются и публикуются в своде пре</w:t>
      </w:r>
      <w:r w:rsidRPr="00C20E88"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 xml:space="preserve">ложений и замечаний, сопровождающем </w:t>
      </w:r>
      <w:r>
        <w:rPr>
          <w:rFonts w:ascii="Times New Roman" w:hAnsi="Times New Roman"/>
          <w:sz w:val="28"/>
          <w:szCs w:val="28"/>
        </w:rPr>
        <w:t>законо</w:t>
      </w:r>
      <w:r w:rsidRPr="00C20E88">
        <w:rPr>
          <w:rFonts w:ascii="Times New Roman" w:hAnsi="Times New Roman"/>
          <w:sz w:val="28"/>
          <w:szCs w:val="28"/>
        </w:rPr>
        <w:t>проект.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Специфические задачи цели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>ответствен</w:t>
      </w:r>
      <w:r w:rsidRPr="00C20E88">
        <w:rPr>
          <w:rFonts w:ascii="Times New Roman" w:hAnsi="Times New Roman"/>
          <w:sz w:val="28"/>
          <w:szCs w:val="28"/>
        </w:rPr>
        <w:t>ные и прозрачные учреждения на всех уровнях (16.6)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беспечить ответственное принятие решений 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C20E88">
        <w:rPr>
          <w:rFonts w:ascii="Times New Roman" w:hAnsi="Times New Roman"/>
          <w:sz w:val="28"/>
          <w:szCs w:val="28"/>
        </w:rPr>
        <w:t>ными 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ганами на всех уровнях с участием всех слоев общества (16.7)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оощрять и проводить в жизнь недискриминационные законы и политик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в и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тересах устойчивого развития (16.b).</w:t>
      </w:r>
    </w:p>
    <w:p w:rsidR="0019475D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 xml:space="preserve">ы 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I: </w:t>
      </w:r>
      <w:r w:rsidRPr="00C20E88">
        <w:rPr>
          <w:rFonts w:ascii="Times New Roman" w:hAnsi="Times New Roman"/>
          <w:sz w:val="28"/>
          <w:szCs w:val="28"/>
        </w:rPr>
        <w:t>Обеспечение этичного поведения депутатов, использ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вание антикоррупционной роли Парламента, повышение прозрачности законодательного пр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цесса и деятельности парламентариев</w:t>
      </w: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Показатели воздействия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Па</w:t>
      </w:r>
      <w:r>
        <w:rPr>
          <w:rFonts w:ascii="Times New Roman" w:hAnsi="Times New Roman"/>
          <w:sz w:val="28"/>
          <w:szCs w:val="28"/>
        </w:rPr>
        <w:t>рламенту значительно повысилось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осприятие коррупции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0E88">
        <w:rPr>
          <w:rFonts w:ascii="Times New Roman" w:hAnsi="Times New Roman"/>
          <w:sz w:val="28"/>
          <w:szCs w:val="28"/>
        </w:rPr>
        <w:t>законодательном органе снизилось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20E88">
        <w:rPr>
          <w:rFonts w:ascii="Times New Roman" w:hAnsi="Times New Roman"/>
          <w:sz w:val="28"/>
          <w:szCs w:val="28"/>
        </w:rPr>
        <w:t>ффективность парламентского контроля повы</w:t>
      </w:r>
      <w:r>
        <w:rPr>
          <w:rFonts w:ascii="Times New Roman" w:hAnsi="Times New Roman"/>
          <w:sz w:val="28"/>
          <w:szCs w:val="28"/>
        </w:rPr>
        <w:t>силась</w:t>
      </w:r>
    </w:p>
    <w:p w:rsidR="0019475D" w:rsidRPr="00037E9F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ачество регламентирования улучшилось.</w:t>
      </w: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475D" w:rsidRPr="00C20E88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3213"/>
        <w:gridCol w:w="3118"/>
        <w:gridCol w:w="22"/>
      </w:tblGrid>
      <w:tr w:rsidR="0019475D" w:rsidRPr="00EB253F" w:rsidTr="00630767">
        <w:trPr>
          <w:trHeight w:val="275"/>
        </w:trPr>
        <w:tc>
          <w:tcPr>
            <w:tcW w:w="32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3E0127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 xml:space="preserve">ы 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I</w:t>
            </w:r>
          </w:p>
        </w:tc>
        <w:tc>
          <w:tcPr>
            <w:tcW w:w="3213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Ожидаемые результаты</w:t>
            </w:r>
          </w:p>
        </w:tc>
        <w:tc>
          <w:tcPr>
            <w:tcW w:w="3140" w:type="dxa"/>
            <w:gridSpan w:val="2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Показатели результата</w:t>
            </w:r>
          </w:p>
        </w:tc>
      </w:tr>
      <w:tr w:rsidR="0019475D" w:rsidRPr="00EB253F" w:rsidTr="00630767">
        <w:trPr>
          <w:gridAfter w:val="1"/>
          <w:wAfter w:w="22" w:type="dxa"/>
          <w:trHeight w:val="340"/>
        </w:trPr>
        <w:tc>
          <w:tcPr>
            <w:tcW w:w="3253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Продвижение депута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ской этики</w:t>
            </w:r>
          </w:p>
        </w:tc>
        <w:tc>
          <w:tcPr>
            <w:tcW w:w="3213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Назначение взысканий за 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арушение депутатами правил этики и повед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ния  </w:t>
            </w:r>
          </w:p>
        </w:tc>
        <w:tc>
          <w:tcPr>
            <w:tcW w:w="3118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proofErr w:type="gramStart"/>
            <w:r w:rsidRPr="00EB253F">
              <w:rPr>
                <w:rFonts w:ascii="Times New Roman" w:hAnsi="Times New Roman"/>
                <w:sz w:val="24"/>
                <w:szCs w:val="28"/>
              </w:rPr>
              <w:t>Проведенные служе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б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ные расследования и отчеты структуры/лица, ответстве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ной/ответственного за этику </w:t>
            </w:r>
            <w:proofErr w:type="gramEnd"/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Наложенные взыскания</w:t>
            </w:r>
          </w:p>
        </w:tc>
      </w:tr>
      <w:tr w:rsidR="0019475D" w:rsidRPr="00EB253F" w:rsidTr="00630767">
        <w:trPr>
          <w:trHeight w:val="257"/>
        </w:trPr>
        <w:tc>
          <w:tcPr>
            <w:tcW w:w="3253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Укрепление парламен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ского контроля </w:t>
            </w: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Повышение эффективн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сти применения законов и функционирования публичных учреждений, подлежащих парламен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скому контролю </w:t>
            </w: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Законы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подвергнутые парламентскому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тролю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Публичные учреждения, подвергнутые парл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ментскому контролю</w:t>
            </w:r>
          </w:p>
        </w:tc>
      </w:tr>
      <w:tr w:rsidR="0019475D" w:rsidRPr="00EB253F" w:rsidTr="00630767">
        <w:trPr>
          <w:trHeight w:val="1697"/>
        </w:trPr>
        <w:tc>
          <w:tcPr>
            <w:tcW w:w="3253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I.3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Прозрачность законод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тельного процесса и ант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коррупционная экспертиза</w:t>
            </w:r>
          </w:p>
        </w:tc>
        <w:tc>
          <w:tcPr>
            <w:tcW w:w="3213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Обеспечение прозрачн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сти законодательного процесса на всех этапах</w:t>
            </w:r>
          </w:p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Содействие публичному мониторингу деятельн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сти Парламента </w:t>
            </w:r>
          </w:p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Устранение/сокращение рисков коррупци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, выя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ленных в законопроектах</w:t>
            </w: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Улучшен монитори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г деятельности Парламе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та, осуществляемый гражданским обществом </w:t>
            </w:r>
          </w:p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Непринятые содерж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щие риски коррупци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законы или соотве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ствующие законы, пр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нятые после устранения рисков </w:t>
            </w:r>
          </w:p>
        </w:tc>
      </w:tr>
    </w:tbl>
    <w:p w:rsidR="0019475D" w:rsidRPr="00EB253F" w:rsidRDefault="0019475D" w:rsidP="0019475D">
      <w:pPr>
        <w:pStyle w:val="Heading2"/>
        <w:spacing w:before="0" w:after="0" w:line="240" w:lineRule="auto"/>
        <w:ind w:firstLine="708"/>
        <w:rPr>
          <w:rFonts w:ascii="Times New Roman" w:hAnsi="Times New Roman"/>
          <w:i w:val="0"/>
          <w:color w:val="002060"/>
          <w:sz w:val="24"/>
          <w:szCs w:val="24"/>
        </w:rPr>
      </w:pPr>
      <w:bookmarkStart w:id="23" w:name="_Toc461617287"/>
      <w:bookmarkStart w:id="24" w:name="_Toc461617388"/>
      <w:bookmarkStart w:id="25" w:name="_Toc468129267"/>
    </w:p>
    <w:p w:rsidR="0019475D" w:rsidRPr="00C20E88" w:rsidRDefault="0019475D" w:rsidP="0019475D">
      <w:pPr>
        <w:pStyle w:val="Heading2"/>
        <w:spacing w:before="0" w:after="0" w:line="240" w:lineRule="auto"/>
        <w:ind w:firstLine="708"/>
        <w:rPr>
          <w:rFonts w:ascii="Times New Roman" w:hAnsi="Times New Roman"/>
          <w:color w:val="002060"/>
        </w:rPr>
      </w:pPr>
      <w:r w:rsidRPr="00C20E88">
        <w:rPr>
          <w:rFonts w:ascii="Times New Roman" w:hAnsi="Times New Roman"/>
          <w:iCs w:val="0"/>
          <w:color w:val="002060"/>
        </w:rPr>
        <w:t>Опор</w:t>
      </w:r>
      <w:r>
        <w:rPr>
          <w:rFonts w:ascii="Times New Roman" w:hAnsi="Times New Roman"/>
          <w:iCs w:val="0"/>
          <w:color w:val="002060"/>
        </w:rPr>
        <w:t>а</w:t>
      </w:r>
      <w:r w:rsidRPr="00C20E88">
        <w:rPr>
          <w:rFonts w:ascii="Times New Roman" w:hAnsi="Times New Roman"/>
          <w:iCs w:val="0"/>
          <w:color w:val="002060"/>
        </w:rPr>
        <w:t xml:space="preserve"> II: Правительство, публичный сектор и местное публичное управление</w:t>
      </w:r>
      <w:bookmarkEnd w:id="23"/>
      <w:bookmarkEnd w:id="24"/>
      <w:bookmarkEnd w:id="25"/>
      <w:r w:rsidRPr="00C20E88">
        <w:rPr>
          <w:rFonts w:ascii="Times New Roman" w:hAnsi="Times New Roman"/>
          <w:b w:val="0"/>
          <w:bCs w:val="0"/>
          <w:iCs w:val="0"/>
          <w:color w:val="002060"/>
        </w:rPr>
        <w:t xml:space="preserve"> </w:t>
      </w:r>
    </w:p>
    <w:p w:rsidR="0019475D" w:rsidRPr="00C20E88" w:rsidRDefault="0019475D" w:rsidP="0019475D">
      <w:pPr>
        <w:spacing w:after="0" w:line="240" w:lineRule="auto"/>
        <w:ind w:firstLine="708"/>
        <w:rPr>
          <w:sz w:val="28"/>
          <w:szCs w:val="28"/>
        </w:rPr>
      </w:pP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Описание проблемы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44A4A">
        <w:rPr>
          <w:rFonts w:ascii="Times New Roman" w:hAnsi="Times New Roman"/>
          <w:iCs/>
          <w:color w:val="002060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прос общественного мнения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проведенный </w:t>
      </w:r>
      <w:proofErr w:type="gramStart"/>
      <w:r w:rsidRPr="00C20E88">
        <w:rPr>
          <w:rFonts w:ascii="Times New Roman" w:hAnsi="Times New Roman"/>
          <w:sz w:val="28"/>
          <w:szCs w:val="28"/>
        </w:rPr>
        <w:t>МРИ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C20E88">
        <w:rPr>
          <w:rFonts w:ascii="Times New Roman" w:hAnsi="Times New Roman"/>
          <w:sz w:val="28"/>
          <w:szCs w:val="28"/>
        </w:rPr>
        <w:t>есной 2017 года среди жителей Молдовы, показал, что лишь 27 процентов респондентов имеют благоприятное мнение о Правительстве Республики Молдова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16"/>
      </w:r>
      <w:r w:rsidRPr="00C20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п</w:t>
      </w:r>
      <w:r w:rsidRPr="00C20E88">
        <w:rPr>
          <w:rFonts w:ascii="Times New Roman" w:hAnsi="Times New Roman"/>
          <w:bCs/>
          <w:sz w:val="28"/>
          <w:szCs w:val="28"/>
        </w:rPr>
        <w:t>оследние годы отмеч</w:t>
      </w:r>
      <w:r>
        <w:rPr>
          <w:rFonts w:ascii="Times New Roman" w:hAnsi="Times New Roman"/>
          <w:bCs/>
          <w:sz w:val="28"/>
          <w:szCs w:val="28"/>
        </w:rPr>
        <w:t>ались</w:t>
      </w:r>
      <w:r w:rsidRPr="00C20E88">
        <w:rPr>
          <w:rFonts w:ascii="Times New Roman" w:hAnsi="Times New Roman"/>
          <w:bCs/>
          <w:sz w:val="28"/>
          <w:szCs w:val="28"/>
        </w:rPr>
        <w:t xml:space="preserve"> выраженн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C20E88">
        <w:rPr>
          <w:rFonts w:ascii="Times New Roman" w:hAnsi="Times New Roman"/>
          <w:bCs/>
          <w:sz w:val="28"/>
          <w:szCs w:val="28"/>
        </w:rPr>
        <w:t xml:space="preserve"> политическ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C20E88">
        <w:rPr>
          <w:rFonts w:ascii="Times New Roman" w:hAnsi="Times New Roman"/>
          <w:bCs/>
          <w:sz w:val="28"/>
          <w:szCs w:val="28"/>
        </w:rPr>
        <w:t xml:space="preserve"> </w:t>
      </w:r>
      <w:r w:rsidRPr="00C20E88">
        <w:rPr>
          <w:rFonts w:ascii="Times New Roman" w:hAnsi="Times New Roman"/>
          <w:bCs/>
          <w:sz w:val="28"/>
          <w:szCs w:val="28"/>
        </w:rPr>
        <w:lastRenderedPageBreak/>
        <w:t>нест</w:t>
      </w:r>
      <w:r w:rsidRPr="00C20E88">
        <w:rPr>
          <w:rFonts w:ascii="Times New Roman" w:hAnsi="Times New Roman"/>
          <w:bCs/>
          <w:sz w:val="28"/>
          <w:szCs w:val="28"/>
        </w:rPr>
        <w:t>а</w:t>
      </w:r>
      <w:r w:rsidRPr="00C20E88">
        <w:rPr>
          <w:rFonts w:ascii="Times New Roman" w:hAnsi="Times New Roman"/>
          <w:bCs/>
          <w:sz w:val="28"/>
          <w:szCs w:val="28"/>
        </w:rPr>
        <w:t>бильность и част</w:t>
      </w:r>
      <w:r>
        <w:rPr>
          <w:rFonts w:ascii="Times New Roman" w:hAnsi="Times New Roman"/>
          <w:bCs/>
          <w:sz w:val="28"/>
          <w:szCs w:val="28"/>
        </w:rPr>
        <w:t>ая</w:t>
      </w:r>
      <w:r w:rsidRPr="00C20E88">
        <w:rPr>
          <w:rFonts w:ascii="Times New Roman" w:hAnsi="Times New Roman"/>
          <w:bCs/>
          <w:sz w:val="28"/>
          <w:szCs w:val="28"/>
        </w:rPr>
        <w:t xml:space="preserve"> смен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20E88">
        <w:rPr>
          <w:rFonts w:ascii="Times New Roman" w:hAnsi="Times New Roman"/>
          <w:bCs/>
          <w:sz w:val="28"/>
          <w:szCs w:val="28"/>
        </w:rPr>
        <w:t xml:space="preserve"> исполнительной власти. В </w:t>
      </w:r>
      <w:r>
        <w:rPr>
          <w:rFonts w:ascii="Times New Roman" w:hAnsi="Times New Roman"/>
          <w:bCs/>
          <w:sz w:val="28"/>
          <w:szCs w:val="28"/>
        </w:rPr>
        <w:t>связи с</w:t>
      </w:r>
      <w:r w:rsidRPr="00C20E88">
        <w:rPr>
          <w:rFonts w:ascii="Times New Roman" w:hAnsi="Times New Roman"/>
          <w:bCs/>
          <w:sz w:val="28"/>
          <w:szCs w:val="28"/>
        </w:rPr>
        <w:t xml:space="preserve"> обнародовани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C20E88">
        <w:rPr>
          <w:rFonts w:ascii="Times New Roman" w:hAnsi="Times New Roman"/>
          <w:bCs/>
          <w:sz w:val="28"/>
          <w:szCs w:val="28"/>
        </w:rPr>
        <w:t xml:space="preserve"> информации об участии представителей Правительства в мошенничестве в финансово-банковском секторе в 2013</w:t>
      </w:r>
      <w:r>
        <w:rPr>
          <w:rFonts w:ascii="Times New Roman" w:hAnsi="Times New Roman"/>
          <w:bCs/>
          <w:sz w:val="28"/>
          <w:szCs w:val="28"/>
        </w:rPr>
        <w:t>–</w:t>
      </w:r>
      <w:r w:rsidRPr="00C20E88">
        <w:rPr>
          <w:rFonts w:ascii="Times New Roman" w:hAnsi="Times New Roman"/>
          <w:bCs/>
          <w:sz w:val="28"/>
          <w:szCs w:val="28"/>
        </w:rPr>
        <w:t>2014 год</w:t>
      </w:r>
      <w:r>
        <w:rPr>
          <w:rFonts w:ascii="Times New Roman" w:hAnsi="Times New Roman"/>
          <w:bCs/>
          <w:sz w:val="28"/>
          <w:szCs w:val="28"/>
        </w:rPr>
        <w:t>ах</w:t>
      </w:r>
      <w:r w:rsidRPr="00C20E88">
        <w:rPr>
          <w:rFonts w:ascii="Times New Roman" w:hAnsi="Times New Roman"/>
          <w:bCs/>
          <w:sz w:val="28"/>
          <w:szCs w:val="28"/>
        </w:rPr>
        <w:t xml:space="preserve">, гражданское общество настояло на подписании новыми членами кабинета министров обязательств по неподкупности и на проверке специальными службами кандидатов на </w:t>
      </w:r>
      <w:r>
        <w:rPr>
          <w:rFonts w:ascii="Times New Roman" w:hAnsi="Times New Roman"/>
          <w:bCs/>
          <w:sz w:val="28"/>
          <w:szCs w:val="28"/>
        </w:rPr>
        <w:t xml:space="preserve">эти </w:t>
      </w:r>
      <w:r w:rsidRPr="00C20E88">
        <w:rPr>
          <w:rFonts w:ascii="Times New Roman" w:hAnsi="Times New Roman"/>
          <w:bCs/>
          <w:sz w:val="28"/>
          <w:szCs w:val="28"/>
        </w:rPr>
        <w:t xml:space="preserve">должности, а </w:t>
      </w:r>
      <w:r>
        <w:rPr>
          <w:rFonts w:ascii="Times New Roman" w:hAnsi="Times New Roman"/>
          <w:bCs/>
          <w:sz w:val="28"/>
          <w:szCs w:val="28"/>
        </w:rPr>
        <w:t>впоследствии</w:t>
      </w:r>
      <w:r w:rsidRPr="00C20E88">
        <w:rPr>
          <w:rFonts w:ascii="Times New Roman" w:hAnsi="Times New Roman"/>
          <w:bCs/>
          <w:sz w:val="28"/>
          <w:szCs w:val="28"/>
        </w:rPr>
        <w:t xml:space="preserve"> назначенных на данные должности лиц.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В отличие от Парламента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в Правительстве отсутствует система учета и прозрачности проектов </w:t>
      </w:r>
      <w:r>
        <w:rPr>
          <w:rFonts w:ascii="Times New Roman" w:hAnsi="Times New Roman"/>
          <w:sz w:val="28"/>
          <w:szCs w:val="28"/>
        </w:rPr>
        <w:t>нормативных</w:t>
      </w:r>
      <w:r w:rsidRPr="00C20E88">
        <w:rPr>
          <w:rFonts w:ascii="Times New Roman" w:hAnsi="Times New Roman"/>
          <w:sz w:val="28"/>
          <w:szCs w:val="28"/>
        </w:rPr>
        <w:t xml:space="preserve"> актов, передаваемых Правительству на утверждение. Такие проекты размещаются на веб-странице </w:t>
      </w:r>
      <w:r>
        <w:rPr>
          <w:rFonts w:ascii="Times New Roman" w:hAnsi="Times New Roman"/>
          <w:sz w:val="28"/>
          <w:szCs w:val="28"/>
        </w:rPr>
        <w:t xml:space="preserve">органа </w:t>
      </w:r>
      <w:r w:rsidRPr="00C20E88">
        <w:rPr>
          <w:rFonts w:ascii="Times New Roman" w:hAnsi="Times New Roman"/>
          <w:sz w:val="28"/>
          <w:szCs w:val="28"/>
        </w:rPr>
        <w:t>исполн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тельной власти только в дни заседаний Правительства, в ходе которых прин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маются данные проекты. Допускается принятие Правительством нормативных актов, не прошедших обязательную антикоррупционную эксперт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зу. Так,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Pr="00C20E88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по</w:t>
      </w:r>
      <w:r w:rsidRPr="00C20E88">
        <w:rPr>
          <w:rFonts w:ascii="Times New Roman" w:hAnsi="Times New Roman"/>
          <w:sz w:val="28"/>
          <w:szCs w:val="28"/>
        </w:rPr>
        <w:t xml:space="preserve"> 2015 год, от 70 до 30 процентов проектов нормативных актов было принято Правительством в обход антикоррупционной эк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пертизы. Более того, не все органы публичной власти в составе Правительства включают з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мечания антикоррупционной экспертизы в свод предложений и зам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чаний.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Также за последние несколько лет журналистские расследования выяв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ли ряд ситуаций, в которых члены Правительства, местные выборные лица и прочие публичные </w:t>
      </w:r>
      <w:r>
        <w:rPr>
          <w:rFonts w:ascii="Times New Roman" w:hAnsi="Times New Roman"/>
          <w:sz w:val="28"/>
          <w:szCs w:val="28"/>
        </w:rPr>
        <w:t>агенты</w:t>
      </w:r>
      <w:r w:rsidRPr="00C20E88">
        <w:rPr>
          <w:rFonts w:ascii="Times New Roman" w:hAnsi="Times New Roman"/>
          <w:sz w:val="28"/>
          <w:szCs w:val="28"/>
        </w:rPr>
        <w:t xml:space="preserve"> в ходе профессиональной деятельности преследов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ли личные интересы в ущерб интересам общественным, различными способ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ми пренебрегая законодательством. При этом</w:t>
      </w:r>
      <w:proofErr w:type="gramStart"/>
      <w:r w:rsidRPr="00C20E88">
        <w:rPr>
          <w:rFonts w:ascii="Times New Roman" w:hAnsi="Times New Roman"/>
          <w:sz w:val="28"/>
          <w:szCs w:val="28"/>
        </w:rPr>
        <w:t>,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ни разоблачения в средствах массовой информации, ни констатирующие акты Национально</w:t>
      </w:r>
      <w:r>
        <w:rPr>
          <w:rFonts w:ascii="Times New Roman" w:hAnsi="Times New Roman"/>
          <w:sz w:val="28"/>
          <w:szCs w:val="28"/>
        </w:rPr>
        <w:t>й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ционной комиссии</w:t>
      </w:r>
      <w:r w:rsidRPr="00C20E88">
        <w:rPr>
          <w:rFonts w:ascii="Times New Roman" w:hAnsi="Times New Roman"/>
          <w:sz w:val="28"/>
          <w:szCs w:val="28"/>
        </w:rPr>
        <w:t>, ни статус обвиняемого или подсудимого в делах о корру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ции, открытых Национальным центром по борьбе с коррупцией (далее – НЦБК) или прокуратурой, ни даже обвинительные приговоры в их отношении в большинстве случаев не привели к временному отстранению от занимаемой должности или к увольнению. Руководящих лиц из публичного сектора, в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новных в осуждении Республики Молдова в Европейском суде по правам 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ловека, не принуждают к возмещению ущерба, причиненного гос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дарству. В таких условиях общество получает ясный посыл о терпимости к отсутствию неподкупности </w:t>
      </w:r>
      <w:r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 представителей органов публичного управления, считая их свободными от какой-либо ответственности.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Публичный сектор в целом страдает от систем</w:t>
      </w: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ой коррупции. Причин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ми такого положения вещей являются: ослабление связи между государстве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 xml:space="preserve">ными учреждениями и гражданами; политический контроль </w:t>
      </w:r>
      <w:r w:rsidRPr="00C20E88">
        <w:rPr>
          <w:rFonts w:ascii="Times New Roman" w:hAnsi="Times New Roman"/>
          <w:sz w:val="28"/>
          <w:szCs w:val="28"/>
        </w:rPr>
        <w:lastRenderedPageBreak/>
        <w:t>кадровой полит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ки в публичном секторе; нарушение законодательства в области госуда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ственных закупок; присвоение целей </w:t>
      </w:r>
      <w:proofErr w:type="spellStart"/>
      <w:r w:rsidRPr="00C20E88">
        <w:rPr>
          <w:rFonts w:ascii="Times New Roman" w:hAnsi="Times New Roman"/>
          <w:sz w:val="28"/>
          <w:szCs w:val="28"/>
        </w:rPr>
        <w:t>частно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-государственного партнерства; терпимость к отсутствию неподкупности </w:t>
      </w:r>
      <w:r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 представителей публичных учр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ждений; безнаказанность публичных агентов.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E88">
        <w:rPr>
          <w:rFonts w:ascii="Times New Roman" w:hAnsi="Times New Roman"/>
          <w:sz w:val="28"/>
          <w:szCs w:val="28"/>
        </w:rPr>
        <w:t>Областями публичного сектора, уязвимыми для коррупции, либо по причине обширных контактов с населением, либо из-за распоряжения кру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ными экономическими интересами, являются: полиция, таможня, налоговая сфера, образование, здравоохранение, дорожные службы, субсидирование сельского хозяйства, окружающая среда, государственные закупки, управл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ние и приватизация публичной собственности, местное публичное управл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ние, прозрачность внешней помощ</w:t>
      </w:r>
      <w:r>
        <w:rPr>
          <w:rFonts w:ascii="Times New Roman" w:hAnsi="Times New Roman"/>
          <w:sz w:val="28"/>
          <w:szCs w:val="28"/>
        </w:rPr>
        <w:t>и</w:t>
      </w:r>
      <w:r w:rsidRPr="00A23F04"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и управление </w:t>
      </w:r>
      <w:r>
        <w:rPr>
          <w:rFonts w:ascii="Times New Roman" w:hAnsi="Times New Roman"/>
          <w:sz w:val="28"/>
          <w:szCs w:val="28"/>
        </w:rPr>
        <w:t>ею</w:t>
      </w:r>
      <w:r w:rsidRPr="00C20E88">
        <w:rPr>
          <w:rFonts w:ascii="Times New Roman" w:hAnsi="Times New Roman"/>
          <w:sz w:val="28"/>
          <w:szCs w:val="28"/>
        </w:rPr>
        <w:t>.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E88">
        <w:rPr>
          <w:rFonts w:ascii="Times New Roman" w:hAnsi="Times New Roman"/>
          <w:sz w:val="28"/>
          <w:szCs w:val="28"/>
        </w:rPr>
        <w:t>Большинство наци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нальных и международных оценок выявляют ненадлежащее функциониров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ние данных областей, </w:t>
      </w:r>
      <w:r>
        <w:rPr>
          <w:rFonts w:ascii="Times New Roman" w:hAnsi="Times New Roman"/>
          <w:sz w:val="28"/>
          <w:szCs w:val="28"/>
        </w:rPr>
        <w:t>обусловленное наличием</w:t>
      </w:r>
      <w:r w:rsidRPr="00C20E88">
        <w:rPr>
          <w:rFonts w:ascii="Times New Roman" w:hAnsi="Times New Roman"/>
          <w:sz w:val="28"/>
          <w:szCs w:val="28"/>
        </w:rPr>
        <w:t xml:space="preserve"> конфликт</w:t>
      </w:r>
      <w:r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 интересов, фавор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тизм</w:t>
      </w:r>
      <w:r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, коррупци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, недостаточн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C20E88">
        <w:rPr>
          <w:rFonts w:ascii="Times New Roman" w:hAnsi="Times New Roman"/>
          <w:sz w:val="28"/>
          <w:szCs w:val="28"/>
        </w:rPr>
        <w:t xml:space="preserve"> прозрачность</w:t>
      </w:r>
      <w:r>
        <w:rPr>
          <w:rFonts w:ascii="Times New Roman" w:hAnsi="Times New Roman"/>
          <w:sz w:val="28"/>
          <w:szCs w:val="28"/>
        </w:rPr>
        <w:t>ю</w:t>
      </w:r>
      <w:r w:rsidRPr="00C20E88">
        <w:rPr>
          <w:rFonts w:ascii="Times New Roman" w:hAnsi="Times New Roman"/>
          <w:sz w:val="28"/>
          <w:szCs w:val="28"/>
        </w:rPr>
        <w:t>,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ресурсов в политических и/или личных интересах, расхищение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имущества предприятий с полным или преимущественно государственным/муниципальным капит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лом, ограничение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конкуренции в области деятельности государственных предприятий или предприятий с долевым участием государства и т.д.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Не существует специальных подходов к специфическим проблемам, связа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ным с коррупцией в уязвимых областях</w:t>
      </w:r>
      <w:r>
        <w:rPr>
          <w:rFonts w:ascii="Times New Roman" w:hAnsi="Times New Roman"/>
          <w:sz w:val="28"/>
          <w:szCs w:val="28"/>
        </w:rPr>
        <w:t>, либо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сли такие подходы и сущес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вуют, то зачастую они носят лишь фрагментарный характер и не взаимосвязаны со стратегическими антикоррупционными документами или с реальными пр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блемами сектора.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Специфические задачи цели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Pr="00C20E88">
        <w:rPr>
          <w:rFonts w:ascii="Times New Roman" w:hAnsi="Times New Roman"/>
          <w:sz w:val="28"/>
          <w:szCs w:val="28"/>
        </w:rPr>
        <w:t>и прозрачные учреждения на всех уровнях (16.6)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беспечить ответственное принятие решений </w:t>
      </w:r>
      <w:r>
        <w:rPr>
          <w:rFonts w:ascii="Times New Roman" w:hAnsi="Times New Roman"/>
          <w:sz w:val="28"/>
          <w:szCs w:val="28"/>
        </w:rPr>
        <w:t>представительными</w:t>
      </w:r>
      <w:r w:rsidRPr="00C20E88">
        <w:rPr>
          <w:rFonts w:ascii="Times New Roman" w:hAnsi="Times New Roman"/>
          <w:sz w:val="28"/>
          <w:szCs w:val="28"/>
        </w:rPr>
        <w:t xml:space="preserve"> 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ганами на всех уровнях с участием всех слоев общества (16.7)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оощрять и проводить в жизнь недискриминационные законы и политику в и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тересах устойчивого развития (16.b).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II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Развитие неподкупности, </w:t>
      </w:r>
      <w:r>
        <w:rPr>
          <w:rFonts w:ascii="Times New Roman" w:hAnsi="Times New Roman"/>
          <w:sz w:val="28"/>
          <w:szCs w:val="28"/>
        </w:rPr>
        <w:t>ответственности</w:t>
      </w:r>
      <w:r w:rsidRPr="00C20E88">
        <w:rPr>
          <w:rFonts w:ascii="Times New Roman" w:hAnsi="Times New Roman"/>
          <w:sz w:val="28"/>
          <w:szCs w:val="28"/>
        </w:rPr>
        <w:t>, прозрачн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сти и устойчивости к рискам коррупци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публичных агентов, членов Прав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тельства и местных выборных лиц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Показатели воздействия: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Правительству значительно повысилось;</w:t>
      </w:r>
    </w:p>
    <w:p w:rsidR="0019475D" w:rsidRPr="00C20E88" w:rsidRDefault="0019475D" w:rsidP="0019475D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Ц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 и М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 повысилось;</w:t>
      </w:r>
    </w:p>
    <w:p w:rsidR="0019475D" w:rsidRPr="00C20E88" w:rsidRDefault="0019475D" w:rsidP="0019475D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>осприятие коррумпированности исполнительной власти значител</w:t>
      </w:r>
      <w:r w:rsidRPr="00C20E88">
        <w:rPr>
          <w:rFonts w:ascii="Times New Roman" w:hAnsi="Times New Roman"/>
          <w:sz w:val="28"/>
          <w:szCs w:val="28"/>
        </w:rPr>
        <w:t>ь</w:t>
      </w:r>
      <w:r w:rsidRPr="00C20E88">
        <w:rPr>
          <w:rFonts w:ascii="Times New Roman" w:hAnsi="Times New Roman"/>
          <w:sz w:val="28"/>
          <w:szCs w:val="28"/>
        </w:rPr>
        <w:t>но сниз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лось;</w:t>
      </w:r>
    </w:p>
    <w:p w:rsidR="0019475D" w:rsidRPr="00C20E88" w:rsidRDefault="0019475D" w:rsidP="0019475D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C20E88">
        <w:rPr>
          <w:rFonts w:ascii="Times New Roman" w:hAnsi="Times New Roman"/>
          <w:sz w:val="28"/>
          <w:szCs w:val="28"/>
        </w:rPr>
        <w:t>а публичных агентов наложены взыскания за совершенные дисц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плинарные нарушения;</w:t>
      </w:r>
    </w:p>
    <w:p w:rsidR="0019475D" w:rsidRPr="00C20E88" w:rsidRDefault="0019475D" w:rsidP="0019475D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розрачность процесса принятия решений и прозрачность правител</w:t>
      </w:r>
      <w:r w:rsidRPr="00C20E88">
        <w:rPr>
          <w:rFonts w:ascii="Times New Roman" w:hAnsi="Times New Roman"/>
          <w:sz w:val="28"/>
          <w:szCs w:val="28"/>
        </w:rPr>
        <w:t>ь</w:t>
      </w:r>
      <w:r w:rsidRPr="00C20E88">
        <w:rPr>
          <w:rFonts w:ascii="Times New Roman" w:hAnsi="Times New Roman"/>
          <w:sz w:val="28"/>
          <w:szCs w:val="28"/>
        </w:rPr>
        <w:t>ственных данных повысил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сь.</w:t>
      </w:r>
    </w:p>
    <w:p w:rsidR="0019475D" w:rsidRPr="00EB253F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240"/>
        <w:gridCol w:w="2928"/>
      </w:tblGrid>
      <w:tr w:rsidR="0019475D" w:rsidRPr="00EB253F" w:rsidTr="00630767">
        <w:trPr>
          <w:trHeight w:val="275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 xml:space="preserve"> II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Ожидаемые результаты</w:t>
            </w:r>
          </w:p>
        </w:tc>
        <w:tc>
          <w:tcPr>
            <w:tcW w:w="2928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Показатели результата</w:t>
            </w:r>
          </w:p>
        </w:tc>
      </w:tr>
      <w:tr w:rsidR="0019475D" w:rsidRPr="00EB253F" w:rsidTr="00630767">
        <w:trPr>
          <w:trHeight w:val="48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0E39">
              <w:rPr>
                <w:rFonts w:ascii="Times New Roman" w:hAnsi="Times New Roman"/>
                <w:bCs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непо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купности в публичных </w:t>
            </w:r>
            <w:r>
              <w:rPr>
                <w:rFonts w:ascii="Times New Roman" w:hAnsi="Times New Roman"/>
                <w:sz w:val="24"/>
                <w:szCs w:val="24"/>
              </w:rPr>
              <w:t>субъе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Создание климата инст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туциональной неподку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ности в публичных </w:t>
            </w:r>
            <w:r>
              <w:rPr>
                <w:rFonts w:ascii="Times New Roman" w:hAnsi="Times New Roman"/>
                <w:sz w:val="24"/>
                <w:szCs w:val="28"/>
              </w:rPr>
              <w:t>суб</w:t>
            </w:r>
            <w:r>
              <w:rPr>
                <w:rFonts w:ascii="Times New Roman" w:hAnsi="Times New Roman"/>
                <w:sz w:val="24"/>
                <w:szCs w:val="28"/>
              </w:rPr>
              <w:t>ъ</w:t>
            </w:r>
            <w:r>
              <w:rPr>
                <w:rFonts w:ascii="Times New Roman" w:hAnsi="Times New Roman"/>
                <w:sz w:val="24"/>
                <w:szCs w:val="28"/>
              </w:rPr>
              <w:t>ектах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Наложение взысканий за нарушение публи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ч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ными </w:t>
            </w:r>
            <w:r>
              <w:rPr>
                <w:rFonts w:ascii="Times New Roman" w:hAnsi="Times New Roman"/>
                <w:sz w:val="24"/>
                <w:szCs w:val="28"/>
              </w:rPr>
              <w:t>агентами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, включая чл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нов Правительства и местных выборных лиц, требований к неподку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ности </w:t>
            </w:r>
          </w:p>
        </w:tc>
        <w:tc>
          <w:tcPr>
            <w:tcW w:w="2928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Публикация оценок институциональной неподкупности НЦБК и Службы информ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ции и безопасности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Наложенные взыск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ния за отсутствие институциональной неподкупности, выя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ленн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в ходе пров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денных оценок НЦБК и СИБ</w:t>
            </w:r>
          </w:p>
        </w:tc>
      </w:tr>
      <w:tr w:rsidR="0019475D" w:rsidRPr="00EB253F" w:rsidTr="00630767">
        <w:trPr>
          <w:trHeight w:val="1697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Отраслевой подход к 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Сниженный уровень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рупции в полицейском, таможенном, 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логовом секторах, секторах охр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ны окружающей среды, государственных закупок, управления и ра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з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государствления публи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ч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ной собственности, здр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воохранения и медици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ского страхования, обр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зования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местного публи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ч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ного управления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лучшенны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воспри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и/или опыт гра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ж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дан и предпринимат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лей в полицейском, таможенном, налог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вом секторах, сект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рах государственных закупок, управления и разгосударствления публичной собстве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ности, здравоохран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ния и медицинского страхования, образ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вания и местного пу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б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личного управл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</w:tr>
      <w:tr w:rsidR="0019475D" w:rsidRPr="00EB253F" w:rsidTr="00630767">
        <w:trPr>
          <w:trHeight w:val="1427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II.3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Прозрачность и отве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перед гражданами 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 w:hanging="30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Обеспечение прозрачн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сти продвижения прое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тов нормативных актов </w:t>
            </w:r>
            <w:r>
              <w:rPr>
                <w:rFonts w:ascii="Times New Roman" w:hAnsi="Times New Roman"/>
                <w:sz w:val="24"/>
                <w:szCs w:val="28"/>
              </w:rPr>
              <w:t>через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Правительс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Повышение качества публичных услуг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Снижение рисков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рупци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, выявленных в проектах законов и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>пр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ектах постановлений Правительства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42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>Размещенные на веб-странице Правител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ь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ства проекты норм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тивных актов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42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Оказываемые </w:t>
            </w:r>
            <w:r>
              <w:rPr>
                <w:rFonts w:ascii="Times New Roman" w:hAnsi="Times New Roman"/>
                <w:sz w:val="24"/>
                <w:szCs w:val="28"/>
              </w:rPr>
              <w:t>посре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ством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электронных платформ публи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ч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ные услуги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42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>Поданные регрес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ные иски </w:t>
            </w:r>
            <w:r>
              <w:rPr>
                <w:rFonts w:ascii="Times New Roman" w:hAnsi="Times New Roman"/>
                <w:sz w:val="24"/>
                <w:szCs w:val="28"/>
              </w:rPr>
              <w:t>по возм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щению 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щерба гос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дарству и обществу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42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Непринятые зак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 постановлени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Прав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тельства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содержащие риски коррупци</w:t>
            </w:r>
            <w:r>
              <w:rPr>
                <w:rFonts w:ascii="Times New Roman" w:hAnsi="Times New Roman"/>
                <w:sz w:val="24"/>
                <w:szCs w:val="28"/>
              </w:rPr>
              <w:t>и,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или принятые после устранения </w:t>
            </w:r>
            <w:r>
              <w:rPr>
                <w:rFonts w:ascii="Times New Roman" w:hAnsi="Times New Roman"/>
                <w:sz w:val="24"/>
                <w:szCs w:val="28"/>
              </w:rPr>
              <w:t>соотве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ствующих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рисков </w:t>
            </w:r>
          </w:p>
        </w:tc>
      </w:tr>
    </w:tbl>
    <w:p w:rsidR="0019475D" w:rsidRPr="00EB253F" w:rsidRDefault="0019475D" w:rsidP="0019475D">
      <w:pPr>
        <w:spacing w:after="0" w:line="240" w:lineRule="auto"/>
        <w:contextualSpacing/>
        <w:jc w:val="both"/>
        <w:rPr>
          <w:rFonts w:ascii="Times New Roman" w:hAnsi="Times New Roman"/>
          <w:i/>
          <w:color w:val="002060"/>
          <w:sz w:val="24"/>
          <w:szCs w:val="28"/>
        </w:rPr>
      </w:pPr>
    </w:p>
    <w:p w:rsidR="0019475D" w:rsidRPr="00C20E88" w:rsidRDefault="0019475D" w:rsidP="0019475D">
      <w:pPr>
        <w:pStyle w:val="Heading2"/>
        <w:spacing w:before="0" w:after="0" w:line="240" w:lineRule="auto"/>
        <w:ind w:firstLine="708"/>
        <w:rPr>
          <w:rFonts w:ascii="Times New Roman" w:hAnsi="Times New Roman"/>
          <w:color w:val="002060"/>
        </w:rPr>
      </w:pPr>
      <w:bookmarkStart w:id="26" w:name="_Toc461617389"/>
      <w:bookmarkStart w:id="27" w:name="_Toc461617288"/>
      <w:bookmarkStart w:id="28" w:name="_Toc468129268"/>
      <w:r w:rsidRPr="00C20E88">
        <w:rPr>
          <w:rFonts w:ascii="Times New Roman" w:hAnsi="Times New Roman"/>
          <w:iCs w:val="0"/>
          <w:color w:val="002060"/>
        </w:rPr>
        <w:t>Опор</w:t>
      </w:r>
      <w:r>
        <w:rPr>
          <w:rFonts w:ascii="Times New Roman" w:hAnsi="Times New Roman"/>
          <w:iCs w:val="0"/>
          <w:color w:val="002060"/>
        </w:rPr>
        <w:t>а</w:t>
      </w:r>
      <w:r w:rsidRPr="00C20E88">
        <w:rPr>
          <w:rFonts w:ascii="Times New Roman" w:hAnsi="Times New Roman"/>
          <w:iCs w:val="0"/>
          <w:color w:val="002060"/>
        </w:rPr>
        <w:t xml:space="preserve"> III:</w:t>
      </w:r>
      <w:r w:rsidRPr="00C20E88">
        <w:rPr>
          <w:rFonts w:ascii="Times New Roman" w:hAnsi="Times New Roman"/>
          <w:b w:val="0"/>
          <w:bCs w:val="0"/>
          <w:iCs w:val="0"/>
          <w:color w:val="002060"/>
        </w:rPr>
        <w:t xml:space="preserve"> </w:t>
      </w:r>
      <w:r w:rsidRPr="00C20E88">
        <w:rPr>
          <w:rFonts w:ascii="Times New Roman" w:hAnsi="Times New Roman"/>
          <w:iCs w:val="0"/>
          <w:color w:val="002060"/>
        </w:rPr>
        <w:t xml:space="preserve">Правосудие и </w:t>
      </w:r>
      <w:bookmarkEnd w:id="26"/>
      <w:bookmarkEnd w:id="27"/>
      <w:r w:rsidRPr="00C20E88">
        <w:rPr>
          <w:rFonts w:ascii="Times New Roman" w:hAnsi="Times New Roman"/>
          <w:iCs w:val="0"/>
          <w:color w:val="002060"/>
        </w:rPr>
        <w:t xml:space="preserve">антикоррупционные </w:t>
      </w:r>
      <w:bookmarkEnd w:id="28"/>
      <w:r w:rsidRPr="00C20E88">
        <w:rPr>
          <w:rFonts w:ascii="Times New Roman" w:hAnsi="Times New Roman"/>
          <w:iCs w:val="0"/>
          <w:color w:val="002060"/>
        </w:rPr>
        <w:t>органы</w:t>
      </w:r>
    </w:p>
    <w:p w:rsidR="0019475D" w:rsidRPr="00C20E88" w:rsidRDefault="0019475D" w:rsidP="001947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2060"/>
          <w:sz w:val="28"/>
          <w:szCs w:val="28"/>
        </w:rPr>
      </w:pPr>
    </w:p>
    <w:p w:rsidR="0019475D" w:rsidRPr="00C20E88" w:rsidRDefault="0019475D" w:rsidP="001947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E88">
        <w:rPr>
          <w:i/>
          <w:iCs/>
          <w:color w:val="002060"/>
          <w:sz w:val="28"/>
          <w:szCs w:val="28"/>
        </w:rPr>
        <w:t>Описание проблемы</w:t>
      </w:r>
      <w:r w:rsidRPr="001D61CD">
        <w:rPr>
          <w:iCs/>
          <w:color w:val="002060"/>
          <w:sz w:val="28"/>
          <w:szCs w:val="28"/>
        </w:rPr>
        <w:t>:</w:t>
      </w:r>
      <w:r w:rsidRPr="00C20E88">
        <w:rPr>
          <w:color w:val="002060"/>
          <w:sz w:val="28"/>
          <w:szCs w:val="28"/>
        </w:rPr>
        <w:t xml:space="preserve"> </w:t>
      </w:r>
      <w:proofErr w:type="gramStart"/>
      <w:r w:rsidRPr="00C20E88">
        <w:rPr>
          <w:sz w:val="28"/>
          <w:szCs w:val="28"/>
        </w:rPr>
        <w:t>Опрос общественного мнения, проведенный МРИ весной 2017 года среди жителей Молдовы, показал, что лишь 28 процентов респондентов имеют благоприятное мнение о судебных инстанциях</w:t>
      </w:r>
      <w:r w:rsidRPr="00C20E88">
        <w:rPr>
          <w:rStyle w:val="FootnoteReference"/>
          <w:sz w:val="28"/>
          <w:szCs w:val="28"/>
        </w:rPr>
        <w:footnoteReference w:id="17"/>
      </w:r>
      <w:r w:rsidRPr="00C20E88">
        <w:rPr>
          <w:sz w:val="28"/>
          <w:szCs w:val="28"/>
        </w:rPr>
        <w:t>. Амб</w:t>
      </w:r>
      <w:r w:rsidRPr="00C20E88">
        <w:rPr>
          <w:sz w:val="28"/>
          <w:szCs w:val="28"/>
        </w:rPr>
        <w:t>и</w:t>
      </w:r>
      <w:r w:rsidRPr="00C20E88">
        <w:rPr>
          <w:sz w:val="28"/>
          <w:szCs w:val="28"/>
        </w:rPr>
        <w:t xml:space="preserve">циозная реформа сектора правосудия, начатая в конце 2011 года, направлена на обеспечение долгосрочного укрепления независимости, </w:t>
      </w:r>
      <w:r>
        <w:rPr>
          <w:sz w:val="28"/>
          <w:szCs w:val="28"/>
        </w:rPr>
        <w:t xml:space="preserve">ответственности, </w:t>
      </w:r>
      <w:r w:rsidRPr="00C20E88">
        <w:rPr>
          <w:sz w:val="28"/>
          <w:szCs w:val="28"/>
        </w:rPr>
        <w:t>эффективности, непредвзятости и прозрачности судебной системы, а также профессионализма и независимости прокуратуры</w:t>
      </w:r>
      <w:r w:rsidRPr="00C20E88">
        <w:rPr>
          <w:rStyle w:val="FootnoteReference"/>
          <w:sz w:val="28"/>
          <w:szCs w:val="28"/>
        </w:rPr>
        <w:footnoteReference w:id="18"/>
      </w:r>
      <w:r w:rsidRPr="00C20E8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88">
        <w:rPr>
          <w:sz w:val="28"/>
          <w:szCs w:val="28"/>
        </w:rPr>
        <w:t>роизведены законод</w:t>
      </w:r>
      <w:r w:rsidRPr="00C20E88">
        <w:rPr>
          <w:sz w:val="28"/>
          <w:szCs w:val="28"/>
        </w:rPr>
        <w:t>а</w:t>
      </w:r>
      <w:r w:rsidRPr="00C20E88">
        <w:rPr>
          <w:sz w:val="28"/>
          <w:szCs w:val="28"/>
        </w:rPr>
        <w:t>тельные и институциональные изменения.</w:t>
      </w:r>
      <w:proofErr w:type="gramEnd"/>
      <w:r w:rsidRPr="00C20E88">
        <w:rPr>
          <w:sz w:val="28"/>
          <w:szCs w:val="28"/>
        </w:rPr>
        <w:t xml:space="preserve"> Судьи и прокуроры, ранее непр</w:t>
      </w:r>
      <w:r w:rsidRPr="00C20E88">
        <w:rPr>
          <w:sz w:val="28"/>
          <w:szCs w:val="28"/>
        </w:rPr>
        <w:t>и</w:t>
      </w:r>
      <w:r w:rsidRPr="00C20E88">
        <w:rPr>
          <w:sz w:val="28"/>
          <w:szCs w:val="28"/>
        </w:rPr>
        <w:t>косновенные, были осуждены за совершение коррупционных преступлений, с применением реально исполняемых наказаний в виде лишения свободы. Н</w:t>
      </w:r>
      <w:r w:rsidRPr="00C20E88">
        <w:rPr>
          <w:sz w:val="28"/>
          <w:szCs w:val="28"/>
        </w:rPr>
        <w:t>е</w:t>
      </w:r>
      <w:r w:rsidRPr="00C20E88">
        <w:rPr>
          <w:sz w:val="28"/>
          <w:szCs w:val="28"/>
        </w:rPr>
        <w:t>смотря на эти достижения, опросы, проведенные на национальном и междун</w:t>
      </w:r>
      <w:r w:rsidRPr="00C20E88">
        <w:rPr>
          <w:sz w:val="28"/>
          <w:szCs w:val="28"/>
        </w:rPr>
        <w:t>а</w:t>
      </w:r>
      <w:r w:rsidRPr="00C20E88">
        <w:rPr>
          <w:sz w:val="28"/>
          <w:szCs w:val="28"/>
        </w:rPr>
        <w:t xml:space="preserve">родном </w:t>
      </w:r>
      <w:proofErr w:type="gramStart"/>
      <w:r w:rsidRPr="00C20E88">
        <w:rPr>
          <w:sz w:val="28"/>
          <w:szCs w:val="28"/>
        </w:rPr>
        <w:t>уровнях</w:t>
      </w:r>
      <w:proofErr w:type="gramEnd"/>
      <w:r w:rsidRPr="00C20E88">
        <w:rPr>
          <w:sz w:val="28"/>
          <w:szCs w:val="28"/>
        </w:rPr>
        <w:t>, показывают снижение доверия к судебной системе, к</w:t>
      </w:r>
      <w:r w:rsidRPr="00C20E88">
        <w:rPr>
          <w:sz w:val="28"/>
          <w:szCs w:val="28"/>
        </w:rPr>
        <w:t>о</w:t>
      </w:r>
      <w:r w:rsidRPr="00C20E88">
        <w:rPr>
          <w:sz w:val="28"/>
          <w:szCs w:val="28"/>
        </w:rPr>
        <w:t>торая воспринимается как наиболее коррумпированная в публичном секторе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расль</w:t>
      </w:r>
      <w:r w:rsidRPr="00C20E88">
        <w:rPr>
          <w:sz w:val="28"/>
          <w:szCs w:val="28"/>
        </w:rPr>
        <w:t>. Органы самоуправления в секторе юстиции часто критикуют за их по</w:t>
      </w:r>
      <w:r w:rsidRPr="00C20E88">
        <w:rPr>
          <w:sz w:val="28"/>
          <w:szCs w:val="28"/>
        </w:rPr>
        <w:t>д</w:t>
      </w:r>
      <w:r w:rsidRPr="00C20E88">
        <w:rPr>
          <w:sz w:val="28"/>
          <w:szCs w:val="28"/>
        </w:rPr>
        <w:t xml:space="preserve">ход к проблемам, связанным с неподкупностью в системе. Данные недостатки усиливают впечатление об отсутствии профессионализма и безнаказанности магистратов, вызывают подозрения в корпоративных договоренностях. </w:t>
      </w:r>
      <w:r>
        <w:rPr>
          <w:sz w:val="28"/>
          <w:szCs w:val="28"/>
        </w:rPr>
        <w:t>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этим</w:t>
      </w:r>
      <w:r w:rsidRPr="00C20E88">
        <w:rPr>
          <w:sz w:val="28"/>
          <w:szCs w:val="28"/>
        </w:rPr>
        <w:t xml:space="preserve"> в конце 2016 года Парламент Республики Молдова признал необх</w:t>
      </w:r>
      <w:r w:rsidRPr="00C20E88">
        <w:rPr>
          <w:sz w:val="28"/>
          <w:szCs w:val="28"/>
        </w:rPr>
        <w:t>о</w:t>
      </w:r>
      <w:r w:rsidRPr="00C20E88">
        <w:rPr>
          <w:sz w:val="28"/>
          <w:szCs w:val="28"/>
        </w:rPr>
        <w:t xml:space="preserve">димость принятия нового </w:t>
      </w:r>
      <w:r>
        <w:rPr>
          <w:sz w:val="28"/>
          <w:szCs w:val="28"/>
        </w:rPr>
        <w:t>программного</w:t>
      </w:r>
      <w:r w:rsidRPr="00C20E88">
        <w:rPr>
          <w:sz w:val="28"/>
          <w:szCs w:val="28"/>
        </w:rPr>
        <w:t xml:space="preserve"> документа для продолжения реформы судебной системы, установив Правительству срок для его разрабо</w:t>
      </w:r>
      <w:r w:rsidRPr="00C20E88">
        <w:rPr>
          <w:sz w:val="28"/>
          <w:szCs w:val="28"/>
        </w:rPr>
        <w:t>т</w:t>
      </w:r>
      <w:r w:rsidRPr="00C20E88">
        <w:rPr>
          <w:sz w:val="28"/>
          <w:szCs w:val="28"/>
        </w:rPr>
        <w:t>ки</w:t>
      </w:r>
      <w:r w:rsidRPr="00C20E88">
        <w:rPr>
          <w:sz w:val="28"/>
          <w:szCs w:val="28"/>
          <w:vertAlign w:val="superscript"/>
        </w:rPr>
        <w:footnoteReference w:id="19"/>
      </w:r>
      <w:r w:rsidRPr="00C20E88">
        <w:rPr>
          <w:sz w:val="28"/>
          <w:szCs w:val="28"/>
        </w:rPr>
        <w:t>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Что касается роли судей в наказании осужденных за совершение актов коррупции, исследования показывают, что лишь пятая часть осужденных </w:t>
      </w:r>
      <w:r>
        <w:rPr>
          <w:rFonts w:ascii="Times New Roman" w:hAnsi="Times New Roman"/>
          <w:sz w:val="28"/>
          <w:szCs w:val="28"/>
        </w:rPr>
        <w:lastRenderedPageBreak/>
        <w:t>реально отбывают</w:t>
      </w:r>
      <w:r w:rsidRPr="00C20E88">
        <w:rPr>
          <w:rFonts w:ascii="Times New Roman" w:hAnsi="Times New Roman"/>
          <w:sz w:val="28"/>
          <w:szCs w:val="28"/>
        </w:rPr>
        <w:t xml:space="preserve"> наказание в виде лишения свободы, и лишь половина осу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>денных лишается права занимать определенные должности или заниматься определенной деятельностью. Опасно также отсутствие сдерживающего х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рактера денежных взысканий за коррупци</w:t>
      </w:r>
      <w:r>
        <w:rPr>
          <w:rFonts w:ascii="Times New Roman" w:hAnsi="Times New Roman"/>
          <w:sz w:val="28"/>
          <w:szCs w:val="28"/>
        </w:rPr>
        <w:t>онные</w:t>
      </w:r>
      <w:r w:rsidRPr="00DE289D"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преступления, несмотря на увеличение их </w:t>
      </w:r>
      <w:r>
        <w:rPr>
          <w:rFonts w:ascii="Times New Roman" w:hAnsi="Times New Roman"/>
          <w:sz w:val="28"/>
          <w:szCs w:val="28"/>
        </w:rPr>
        <w:t>количества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0E88">
        <w:rPr>
          <w:rFonts w:ascii="Times New Roman" w:hAnsi="Times New Roman"/>
          <w:sz w:val="28"/>
          <w:szCs w:val="28"/>
        </w:rPr>
        <w:t>Так, размер налагаемых уголовных штрафов скорее обратно пропорционален размеру запрошенной или получе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ной взятки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0"/>
      </w:r>
      <w:r w:rsidRPr="00C20E88">
        <w:rPr>
          <w:rFonts w:ascii="Times New Roman" w:hAnsi="Times New Roman"/>
          <w:sz w:val="28"/>
          <w:szCs w:val="28"/>
        </w:rPr>
        <w:t>, конфискация применяется редко в связи с отсутствием специал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зации в обращении взыскания на имущество, полученное преступным путем, с целью его конфискации, а расширенная конфискация отсутствует полн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стью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1"/>
      </w:r>
      <w:r w:rsidRPr="00C20E88">
        <w:rPr>
          <w:rFonts w:ascii="Times New Roman" w:hAnsi="Times New Roman"/>
          <w:sz w:val="28"/>
          <w:szCs w:val="28"/>
        </w:rPr>
        <w:t xml:space="preserve">. Более того, каждый четвертый обвинительный приговор </w:t>
      </w:r>
      <w:r>
        <w:rPr>
          <w:rFonts w:ascii="Times New Roman" w:hAnsi="Times New Roman"/>
          <w:sz w:val="28"/>
          <w:szCs w:val="28"/>
        </w:rPr>
        <w:t>по делу о</w:t>
      </w:r>
      <w:r w:rsidRPr="00C20E88">
        <w:rPr>
          <w:rFonts w:ascii="Times New Roman" w:hAnsi="Times New Roman"/>
          <w:sz w:val="28"/>
          <w:szCs w:val="28"/>
        </w:rPr>
        <w:t xml:space="preserve"> 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обезличивается перед размещением его на портале судебных инста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ций, а часть таких приговоров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публикуется</w:t>
      </w:r>
      <w:r w:rsidRPr="00C20E88">
        <w:rPr>
          <w:rFonts w:ascii="Times New Roman" w:hAnsi="Times New Roman"/>
          <w:sz w:val="28"/>
          <w:szCs w:val="28"/>
        </w:rPr>
        <w:t xml:space="preserve"> вовсе, вследствие чего создае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ся впечатление, что судьи пытаются защитить корру</w:t>
      </w:r>
      <w:r>
        <w:rPr>
          <w:rFonts w:ascii="Times New Roman" w:hAnsi="Times New Roman"/>
          <w:sz w:val="28"/>
          <w:szCs w:val="28"/>
        </w:rPr>
        <w:t>пционеров</w:t>
      </w:r>
      <w:r w:rsidRPr="00C20E88">
        <w:rPr>
          <w:rFonts w:ascii="Times New Roman" w:hAnsi="Times New Roman"/>
          <w:sz w:val="28"/>
          <w:szCs w:val="28"/>
        </w:rPr>
        <w:t xml:space="preserve"> от обществе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ного осуждения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2"/>
      </w:r>
      <w:r w:rsidRPr="00C20E88">
        <w:rPr>
          <w:rFonts w:ascii="Times New Roman" w:hAnsi="Times New Roman"/>
          <w:sz w:val="28"/>
          <w:szCs w:val="28"/>
        </w:rPr>
        <w:t xml:space="preserve">.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E88">
        <w:rPr>
          <w:rFonts w:ascii="Times New Roman" w:hAnsi="Times New Roman"/>
          <w:sz w:val="28"/>
          <w:szCs w:val="28"/>
        </w:rPr>
        <w:t xml:space="preserve">Отсутствие специализации судей и/или судебных инстанций при рассмотрении дел об актах коррупции,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20E88">
        <w:rPr>
          <w:rFonts w:ascii="Times New Roman" w:hAnsi="Times New Roman"/>
          <w:sz w:val="28"/>
          <w:szCs w:val="28"/>
        </w:rPr>
        <w:t>подобных или смежных с актами ко</w:t>
      </w:r>
      <w:r w:rsidRPr="00C20E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рупцией</w:t>
      </w:r>
      <w:r w:rsidRPr="00C20E88">
        <w:rPr>
          <w:rFonts w:ascii="Times New Roman" w:hAnsi="Times New Roman"/>
          <w:sz w:val="28"/>
          <w:szCs w:val="28"/>
        </w:rPr>
        <w:t>, не позволяет быстро усовершенствовать судебную практику в отн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шении таких дел.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Резонансные дела о коррупции не рассматриваются </w:t>
      </w:r>
      <w:r>
        <w:rPr>
          <w:rFonts w:ascii="Times New Roman" w:hAnsi="Times New Roman"/>
          <w:sz w:val="28"/>
          <w:szCs w:val="28"/>
        </w:rPr>
        <w:t>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</w:t>
      </w:r>
      <w:r w:rsidRPr="00C20E88">
        <w:rPr>
          <w:rFonts w:ascii="Times New Roman" w:hAnsi="Times New Roman"/>
          <w:sz w:val="28"/>
          <w:szCs w:val="28"/>
        </w:rPr>
        <w:t xml:space="preserve"> в связи с загруженностью судебных инстанций общей юрисдикции, а </w:t>
      </w:r>
      <w:r>
        <w:rPr>
          <w:rFonts w:ascii="Times New Roman" w:hAnsi="Times New Roman"/>
          <w:sz w:val="28"/>
          <w:szCs w:val="28"/>
        </w:rPr>
        <w:t xml:space="preserve">назначаемые в случае </w:t>
      </w:r>
      <w:r w:rsidRPr="00C20E88">
        <w:rPr>
          <w:rFonts w:ascii="Times New Roman" w:hAnsi="Times New Roman"/>
          <w:sz w:val="28"/>
          <w:szCs w:val="28"/>
        </w:rPr>
        <w:t>осуждения наказания редко могут считаться сдержив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ющими. Общество теряет интерес к медленно рассматриваемым резонан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ным делам о коррупции и воспринимает фигурантов данных дел как безнаказа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ных, квалифицируя действия, принятые на этапе уголовного преследования, как «</w:t>
      </w:r>
      <w:proofErr w:type="spellStart"/>
      <w:r w:rsidRPr="00C20E88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шоу» без судебных р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зультатов.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Ключевыми субъектами в борьбе с коррупцией являются судебные инстанции, прокуратура и специализированные инстанции. На протяжении последних лет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C20E88">
        <w:rPr>
          <w:rFonts w:ascii="Times New Roman" w:hAnsi="Times New Roman"/>
          <w:sz w:val="28"/>
          <w:szCs w:val="28"/>
        </w:rPr>
        <w:t>антикоррупционные органы прошли через глубокие инстит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>циональные и структурные реформы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3"/>
      </w:r>
      <w:r w:rsidRPr="00C20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C20E88">
        <w:rPr>
          <w:rFonts w:ascii="Times New Roman" w:hAnsi="Times New Roman"/>
          <w:sz w:val="28"/>
          <w:szCs w:val="28"/>
        </w:rPr>
        <w:t>ыли пересмотрены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и </w:t>
      </w:r>
      <w:r w:rsidRPr="00C20E88">
        <w:rPr>
          <w:rFonts w:ascii="Times New Roman" w:hAnsi="Times New Roman"/>
          <w:sz w:val="28"/>
          <w:szCs w:val="28"/>
        </w:rPr>
        <w:lastRenderedPageBreak/>
        <w:t>перераспредел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C20E88">
        <w:rPr>
          <w:rFonts w:ascii="Times New Roman" w:hAnsi="Times New Roman"/>
          <w:sz w:val="28"/>
          <w:szCs w:val="28"/>
        </w:rPr>
        <w:t xml:space="preserve"> компетенции, сменены гарантии независимости и изменены процеду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ные правила. Однако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успех данных реформ можно будет оценить только </w:t>
      </w:r>
      <w:r>
        <w:rPr>
          <w:rFonts w:ascii="Times New Roman" w:hAnsi="Times New Roman"/>
          <w:sz w:val="28"/>
          <w:szCs w:val="28"/>
        </w:rPr>
        <w:t>по</w:t>
      </w:r>
      <w:r w:rsidRPr="00C20E88">
        <w:rPr>
          <w:rFonts w:ascii="Times New Roman" w:hAnsi="Times New Roman"/>
          <w:sz w:val="28"/>
          <w:szCs w:val="28"/>
        </w:rPr>
        <w:t xml:space="preserve"> эффективности административного контроля необоснованного имущества, </w:t>
      </w:r>
      <w:r>
        <w:rPr>
          <w:rFonts w:ascii="Times New Roman" w:hAnsi="Times New Roman"/>
          <w:sz w:val="28"/>
          <w:szCs w:val="28"/>
        </w:rPr>
        <w:t>пресечению</w:t>
      </w:r>
      <w:r w:rsidRPr="00C20E88">
        <w:rPr>
          <w:rFonts w:ascii="Times New Roman" w:hAnsi="Times New Roman"/>
          <w:sz w:val="28"/>
          <w:szCs w:val="28"/>
        </w:rPr>
        <w:t xml:space="preserve"> незаконно</w:t>
      </w:r>
      <w:r>
        <w:rPr>
          <w:rFonts w:ascii="Times New Roman" w:hAnsi="Times New Roman"/>
          <w:sz w:val="28"/>
          <w:szCs w:val="28"/>
        </w:rPr>
        <w:t>го</w:t>
      </w:r>
      <w:r w:rsidRPr="00C20E88">
        <w:rPr>
          <w:rFonts w:ascii="Times New Roman" w:hAnsi="Times New Roman"/>
          <w:sz w:val="28"/>
          <w:szCs w:val="28"/>
        </w:rPr>
        <w:t xml:space="preserve"> обогащени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 представителей публичного сектора,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зультатам</w:t>
      </w:r>
      <w:r w:rsidRPr="00C20E88">
        <w:rPr>
          <w:rFonts w:ascii="Times New Roman" w:hAnsi="Times New Roman"/>
          <w:sz w:val="28"/>
          <w:szCs w:val="28"/>
        </w:rPr>
        <w:t xml:space="preserve"> акта правосудия, возмещения имущества, полученного в результате коррупционных преступлений, включая имущество, скрытое за границей, а также </w:t>
      </w:r>
      <w:r>
        <w:rPr>
          <w:rFonts w:ascii="Times New Roman" w:hAnsi="Times New Roman"/>
          <w:sz w:val="28"/>
          <w:szCs w:val="28"/>
        </w:rPr>
        <w:t>по</w:t>
      </w:r>
      <w:r w:rsidRPr="00C20E88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ю</w:t>
      </w:r>
      <w:r w:rsidRPr="00C20E88">
        <w:rPr>
          <w:rFonts w:ascii="Times New Roman" w:hAnsi="Times New Roman"/>
          <w:sz w:val="28"/>
          <w:szCs w:val="28"/>
        </w:rPr>
        <w:t xml:space="preserve"> ущерба лицам, пострадавшим от актов коррупции.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E88">
        <w:rPr>
          <w:rFonts w:ascii="Times New Roman" w:hAnsi="Times New Roman"/>
          <w:sz w:val="28"/>
          <w:szCs w:val="28"/>
        </w:rPr>
        <w:t>Согласно исследованиям, недавн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 проведенным представителями Ме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>дународного центра по воз</w:t>
      </w:r>
      <w:r>
        <w:rPr>
          <w:rFonts w:ascii="Times New Roman" w:hAnsi="Times New Roman"/>
          <w:sz w:val="28"/>
          <w:szCs w:val="28"/>
        </w:rPr>
        <w:t>ме</w:t>
      </w:r>
      <w:r w:rsidRPr="00C20E88">
        <w:rPr>
          <w:rFonts w:ascii="Times New Roman" w:hAnsi="Times New Roman"/>
          <w:sz w:val="28"/>
          <w:szCs w:val="28"/>
        </w:rPr>
        <w:t xml:space="preserve">щению активов </w:t>
      </w:r>
      <w:proofErr w:type="spellStart"/>
      <w:r w:rsidRPr="00C20E88">
        <w:rPr>
          <w:rFonts w:ascii="Times New Roman" w:hAnsi="Times New Roman"/>
          <w:sz w:val="28"/>
          <w:szCs w:val="28"/>
        </w:rPr>
        <w:t>Базельского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института управл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ния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4"/>
      </w:r>
      <w:r w:rsidRPr="00C20E88">
        <w:rPr>
          <w:rFonts w:ascii="Times New Roman" w:hAnsi="Times New Roman"/>
          <w:sz w:val="28"/>
          <w:szCs w:val="28"/>
        </w:rPr>
        <w:t>, Республике Молдова следует учредить и укрепить орган, ответственный за продвижение национальной политики в области параллельных фина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совых расследований (в особенности, по преступлениям, связанным с коррупцией и отмыванием денег) с целью возвращения имущества, полученного престу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ным путем, и за способствование отслеживанию и заморажив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нию имущества, полученного преступным путем в стране и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за рубежом, т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ким образом, чтобы его можно было конфисковать одновременно с вынес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нием обвинительных приговоров. Исследование также установило, что у Республики Молдова пока что отсутствует опыт возврата из-за рубежа какого-либо имущества, получе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ного преступным путем.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Проблемой, отмеченной в </w:t>
      </w:r>
      <w:r>
        <w:rPr>
          <w:rFonts w:ascii="Times New Roman" w:hAnsi="Times New Roman"/>
          <w:sz w:val="28"/>
          <w:szCs w:val="28"/>
        </w:rPr>
        <w:t xml:space="preserve">отчетах </w:t>
      </w:r>
      <w:r w:rsidRPr="00C20E88">
        <w:rPr>
          <w:rFonts w:ascii="Times New Roman" w:hAnsi="Times New Roman"/>
          <w:sz w:val="28"/>
          <w:szCs w:val="28"/>
        </w:rPr>
        <w:t>гражданского общества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5"/>
      </w:r>
      <w:r w:rsidRPr="00C20E88">
        <w:rPr>
          <w:rFonts w:ascii="Times New Roman" w:hAnsi="Times New Roman"/>
          <w:sz w:val="28"/>
          <w:szCs w:val="28"/>
        </w:rPr>
        <w:t>, является недостаточное внимание, уделяемое возмещению материального и моральн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го ущерба лицам, пострадавшим от коррупции. На имущество подозреваем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го/обвиняемого/подсудимого в актах коррупции редко налагается арест с ц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лью обеспечения возмещения ущерба, нанесенного потерпевшей стороне. </w:t>
      </w:r>
      <w:proofErr w:type="gramStart"/>
      <w:r w:rsidRPr="00C20E88"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же в случае </w:t>
      </w:r>
      <w:r>
        <w:rPr>
          <w:rFonts w:ascii="Times New Roman" w:hAnsi="Times New Roman"/>
          <w:sz w:val="28"/>
          <w:szCs w:val="28"/>
        </w:rPr>
        <w:t>вынесения обвинительного приговора</w:t>
      </w:r>
      <w:r w:rsidRPr="00C20E88">
        <w:rPr>
          <w:rFonts w:ascii="Times New Roman" w:hAnsi="Times New Roman"/>
          <w:sz w:val="28"/>
          <w:szCs w:val="28"/>
        </w:rPr>
        <w:t xml:space="preserve"> потерпевшие от актов 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рупции не осуществляют свои права на возмещени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ущерба,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несенного ими в результате подачи </w:t>
      </w:r>
      <w:proofErr w:type="spellStart"/>
      <w:r w:rsidRPr="00C20E88">
        <w:rPr>
          <w:rFonts w:ascii="Times New Roman" w:hAnsi="Times New Roman"/>
          <w:sz w:val="28"/>
          <w:szCs w:val="28"/>
        </w:rPr>
        <w:t>деликтных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гражданских исков против работодат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лей лиц, соверш</w:t>
      </w:r>
      <w:r>
        <w:rPr>
          <w:rFonts w:ascii="Times New Roman" w:hAnsi="Times New Roman"/>
          <w:sz w:val="28"/>
          <w:szCs w:val="28"/>
        </w:rPr>
        <w:t>ивших</w:t>
      </w:r>
      <w:r w:rsidRPr="00C20E88">
        <w:rPr>
          <w:rFonts w:ascii="Times New Roman" w:hAnsi="Times New Roman"/>
          <w:sz w:val="28"/>
          <w:szCs w:val="28"/>
        </w:rPr>
        <w:t xml:space="preserve"> акты коррупции</w:t>
      </w:r>
      <w:r w:rsidRPr="00891284"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на рабочем месте, за которые были осуждены, и против которых работодатели могут впоследствии подать регрессные иски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C20E88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им</w:t>
      </w:r>
      <w:r w:rsidRPr="00C20E88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C20E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Гражданской к</w:t>
      </w:r>
      <w:r w:rsidRPr="00C20E88">
        <w:rPr>
          <w:rFonts w:ascii="Times New Roman" w:hAnsi="Times New Roman"/>
          <w:sz w:val="28"/>
          <w:szCs w:val="28"/>
        </w:rPr>
        <w:t>онвенци</w:t>
      </w:r>
      <w:r>
        <w:rPr>
          <w:rFonts w:ascii="Times New Roman" w:hAnsi="Times New Roman"/>
          <w:sz w:val="28"/>
          <w:szCs w:val="28"/>
        </w:rPr>
        <w:t>ей</w:t>
      </w:r>
      <w:r w:rsidRPr="00C20E88">
        <w:rPr>
          <w:rFonts w:ascii="Times New Roman" w:hAnsi="Times New Roman"/>
          <w:sz w:val="28"/>
          <w:szCs w:val="28"/>
        </w:rPr>
        <w:t xml:space="preserve"> Совета Европы о коррупции и Конвенци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ООН против корру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ции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6"/>
      </w:r>
      <w:r w:rsidRPr="00C20E88">
        <w:rPr>
          <w:rFonts w:ascii="Times New Roman" w:hAnsi="Times New Roman"/>
          <w:sz w:val="28"/>
          <w:szCs w:val="28"/>
        </w:rPr>
        <w:t>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lastRenderedPageBreak/>
        <w:t>Борьба с коррупцией посредством решительных репрессивных мер может улучшить восприятие населения, однако не может значительно сокр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тить явление как таковое. Применение воспитательных мер и мер по предупрежд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нию коррупции также важно. Вопреки большому количеству обучающих и информирующих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направленных на борьбу с коррупцией, пров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димых НЦБК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7"/>
      </w:r>
      <w:r w:rsidRPr="00C20E88">
        <w:rPr>
          <w:rFonts w:ascii="Times New Roman" w:hAnsi="Times New Roman"/>
          <w:sz w:val="28"/>
          <w:szCs w:val="28"/>
        </w:rPr>
        <w:t>, в школах и университетах отсутствуют антикоррупц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онные программы обучения, а молод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е поколени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не получа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т систематического воспитания в духе неподкупности и нетерпимости к коррупции. </w:t>
      </w:r>
      <w:proofErr w:type="gramStart"/>
      <w:r>
        <w:rPr>
          <w:rFonts w:ascii="Times New Roman" w:hAnsi="Times New Roman"/>
          <w:sz w:val="28"/>
          <w:szCs w:val="28"/>
        </w:rPr>
        <w:t>Всле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ствие проведения</w:t>
      </w:r>
      <w:r w:rsidRPr="00C20E88">
        <w:rPr>
          <w:rFonts w:ascii="Times New Roman" w:hAnsi="Times New Roman"/>
          <w:sz w:val="28"/>
          <w:szCs w:val="28"/>
        </w:rPr>
        <w:t xml:space="preserve"> антикоррупционной экспертизы проектов законодательных и но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мативных актов НЦБК удалось предотвратить </w:t>
      </w:r>
      <w:r>
        <w:rPr>
          <w:rFonts w:ascii="Times New Roman" w:hAnsi="Times New Roman"/>
          <w:sz w:val="28"/>
          <w:szCs w:val="28"/>
        </w:rPr>
        <w:t xml:space="preserve">нанесение </w:t>
      </w:r>
      <w:r w:rsidRPr="00C20E88">
        <w:rPr>
          <w:rFonts w:ascii="Times New Roman" w:hAnsi="Times New Roman"/>
          <w:sz w:val="28"/>
          <w:szCs w:val="28"/>
        </w:rPr>
        <w:t>ущерб</w:t>
      </w:r>
      <w:r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 обществе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ным интересам в размере около 200 миллионов леев, однако это было нево</w:t>
      </w:r>
      <w:r w:rsidRPr="00C20E88"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 xml:space="preserve">можно в случае </w:t>
      </w:r>
      <w:r>
        <w:rPr>
          <w:rFonts w:ascii="Times New Roman" w:hAnsi="Times New Roman"/>
          <w:sz w:val="28"/>
          <w:szCs w:val="28"/>
        </w:rPr>
        <w:t>уклонения от проведения</w:t>
      </w:r>
      <w:r w:rsidRPr="00C20E88">
        <w:rPr>
          <w:rFonts w:ascii="Times New Roman" w:hAnsi="Times New Roman"/>
          <w:sz w:val="28"/>
          <w:szCs w:val="28"/>
        </w:rPr>
        <w:t xml:space="preserve"> экспертизы при подготовке некот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рых проектов, а также в случае игнорирования рекомендаций </w:t>
      </w:r>
      <w:r>
        <w:rPr>
          <w:rFonts w:ascii="Times New Roman" w:hAnsi="Times New Roman"/>
          <w:sz w:val="28"/>
          <w:szCs w:val="28"/>
        </w:rPr>
        <w:t>экспертов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8"/>
      </w:r>
      <w:r w:rsidRPr="00C20E88">
        <w:rPr>
          <w:rFonts w:ascii="Times New Roman" w:hAnsi="Times New Roman"/>
          <w:sz w:val="28"/>
          <w:szCs w:val="28"/>
        </w:rPr>
        <w:t>. Проце</w:t>
      </w:r>
      <w:r>
        <w:rPr>
          <w:rFonts w:ascii="Times New Roman" w:hAnsi="Times New Roman"/>
          <w:sz w:val="28"/>
          <w:szCs w:val="28"/>
        </w:rPr>
        <w:t>дура</w:t>
      </w:r>
      <w:r w:rsidRPr="00C20E88">
        <w:rPr>
          <w:rFonts w:ascii="Times New Roman" w:hAnsi="Times New Roman"/>
          <w:sz w:val="28"/>
          <w:szCs w:val="28"/>
        </w:rPr>
        <w:t xml:space="preserve"> оценки рисков коррупци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в публичных учреждениях, котор</w:t>
      </w:r>
      <w:r>
        <w:rPr>
          <w:rFonts w:ascii="Times New Roman" w:hAnsi="Times New Roman"/>
          <w:sz w:val="28"/>
          <w:szCs w:val="28"/>
        </w:rPr>
        <w:t>ой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действует</w:t>
      </w:r>
      <w:r w:rsidRPr="00C20E88">
        <w:rPr>
          <w:rFonts w:ascii="Times New Roman" w:hAnsi="Times New Roman"/>
          <w:sz w:val="28"/>
          <w:szCs w:val="28"/>
        </w:rPr>
        <w:t xml:space="preserve"> НЦБК, привод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т к утверждению такими учреждениями планов и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ституциональной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неподкупности. Тем не менее, ответстве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ные учреждения не спешат внедрять такие планы или вообще игнорируют их, а в связи с отсу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ствием каких-либо механизмов по повышению ответс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венности такие усилия по предотвращению коррупции не приводят к запл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нированным результатам. С другой стороны,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C20E88">
        <w:rPr>
          <w:rFonts w:ascii="Times New Roman" w:hAnsi="Times New Roman"/>
          <w:sz w:val="28"/>
          <w:szCs w:val="28"/>
        </w:rPr>
        <w:t xml:space="preserve"> профессиональной неподкупности публи</w:t>
      </w:r>
      <w:r w:rsidRPr="00C20E88">
        <w:rPr>
          <w:rFonts w:ascii="Times New Roman" w:hAnsi="Times New Roman"/>
          <w:sz w:val="28"/>
          <w:szCs w:val="28"/>
        </w:rPr>
        <w:t>ч</w:t>
      </w:r>
      <w:r w:rsidRPr="00C20E88">
        <w:rPr>
          <w:rFonts w:ascii="Times New Roman" w:hAnsi="Times New Roman"/>
          <w:sz w:val="28"/>
          <w:szCs w:val="28"/>
        </w:rPr>
        <w:t xml:space="preserve">ных агентов дала </w:t>
      </w:r>
      <w:r>
        <w:rPr>
          <w:rFonts w:ascii="Times New Roman" w:hAnsi="Times New Roman"/>
          <w:sz w:val="28"/>
          <w:szCs w:val="28"/>
        </w:rPr>
        <w:t>ощутимый</w:t>
      </w:r>
      <w:r w:rsidRPr="00C20E88">
        <w:rPr>
          <w:rFonts w:ascii="Times New Roman" w:hAnsi="Times New Roman"/>
          <w:sz w:val="28"/>
          <w:szCs w:val="28"/>
        </w:rPr>
        <w:t xml:space="preserve"> эффект в </w:t>
      </w:r>
      <w:r>
        <w:rPr>
          <w:rFonts w:ascii="Times New Roman" w:hAnsi="Times New Roman"/>
          <w:sz w:val="28"/>
          <w:szCs w:val="28"/>
        </w:rPr>
        <w:t>2014–</w:t>
      </w:r>
      <w:r w:rsidRPr="00C20E88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ах</w:t>
      </w:r>
      <w:r w:rsidRPr="00C20E88">
        <w:rPr>
          <w:rFonts w:ascii="Times New Roman" w:hAnsi="Times New Roman"/>
          <w:sz w:val="28"/>
          <w:szCs w:val="28"/>
        </w:rPr>
        <w:t>, однако механизм был ча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тично лишен законной силы Конституционным судом в апреле 2015 года. В ноябре 2016 года в результате законодательных изменений, принятых Па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ламентом,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C20E88">
        <w:rPr>
          <w:rFonts w:ascii="Times New Roman" w:hAnsi="Times New Roman"/>
          <w:sz w:val="28"/>
          <w:szCs w:val="28"/>
        </w:rPr>
        <w:t xml:space="preserve"> профессиональной неподкупности был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 восстановл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 как часть процесса оценки институциональной неподкупности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29"/>
      </w:r>
      <w:r w:rsidRPr="00C20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r w:rsidRPr="00C20E88">
        <w:rPr>
          <w:rFonts w:ascii="Times New Roman" w:hAnsi="Times New Roman"/>
          <w:sz w:val="28"/>
          <w:szCs w:val="28"/>
        </w:rPr>
        <w:t xml:space="preserve"> данный </w:t>
      </w:r>
      <w:r>
        <w:rPr>
          <w:rFonts w:ascii="Times New Roman" w:hAnsi="Times New Roman"/>
          <w:sz w:val="28"/>
          <w:szCs w:val="28"/>
        </w:rPr>
        <w:t>важный</w:t>
      </w:r>
      <w:r w:rsidRPr="00C20E88">
        <w:rPr>
          <w:rFonts w:ascii="Times New Roman" w:hAnsi="Times New Roman"/>
          <w:sz w:val="28"/>
          <w:szCs w:val="28"/>
        </w:rPr>
        <w:t xml:space="preserve"> инструмент за полтора года не принес ожидаемых результ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по причине</w:t>
      </w:r>
      <w:r w:rsidRPr="00C20E88">
        <w:rPr>
          <w:rFonts w:ascii="Times New Roman" w:hAnsi="Times New Roman"/>
          <w:sz w:val="28"/>
          <w:szCs w:val="28"/>
        </w:rPr>
        <w:t xml:space="preserve"> упомянуты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препя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z w:val="28"/>
          <w:szCs w:val="28"/>
        </w:rPr>
        <w:t>й</w:t>
      </w:r>
      <w:r w:rsidRPr="00C20E88">
        <w:rPr>
          <w:rFonts w:ascii="Times New Roman" w:hAnsi="Times New Roman"/>
          <w:sz w:val="28"/>
          <w:szCs w:val="28"/>
        </w:rPr>
        <w:t>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Специфические задачи цели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 xml:space="preserve">начительно </w:t>
      </w:r>
      <w:r>
        <w:rPr>
          <w:rFonts w:ascii="Times New Roman" w:hAnsi="Times New Roman"/>
          <w:sz w:val="28"/>
          <w:szCs w:val="28"/>
        </w:rPr>
        <w:t>сократить</w:t>
      </w:r>
      <w:r w:rsidRPr="00C20E88">
        <w:rPr>
          <w:rFonts w:ascii="Times New Roman" w:hAnsi="Times New Roman"/>
          <w:sz w:val="28"/>
          <w:szCs w:val="28"/>
        </w:rPr>
        <w:t xml:space="preserve"> незаконные финансовые потоки [...]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активиз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ровать деятельность по обнаружению и возвращению похищенных акти</w:t>
      </w:r>
      <w:r>
        <w:rPr>
          <w:rFonts w:ascii="Times New Roman" w:hAnsi="Times New Roman"/>
          <w:sz w:val="28"/>
          <w:szCs w:val="28"/>
        </w:rPr>
        <w:t xml:space="preserve">вов </w:t>
      </w:r>
      <w:r w:rsidRPr="00C20E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C20E88">
        <w:rPr>
          <w:rFonts w:ascii="Times New Roman" w:hAnsi="Times New Roman"/>
          <w:sz w:val="28"/>
          <w:szCs w:val="28"/>
        </w:rPr>
        <w:t xml:space="preserve">6.4)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начительно сократить масштабы коррупции и взяточничества во всех их фо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мах (16.5)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20E88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>ответственные</w:t>
      </w:r>
      <w:r w:rsidRPr="00C20E88">
        <w:rPr>
          <w:rFonts w:ascii="Times New Roman" w:hAnsi="Times New Roman"/>
          <w:sz w:val="28"/>
          <w:szCs w:val="28"/>
        </w:rPr>
        <w:t xml:space="preserve"> и прозрачные учреждения на всех уровнях (16.6)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ащитить основные свободы в соответствии с национальным законодател</w:t>
      </w:r>
      <w:r w:rsidRPr="00C20E88">
        <w:rPr>
          <w:rFonts w:ascii="Times New Roman" w:hAnsi="Times New Roman"/>
          <w:sz w:val="28"/>
          <w:szCs w:val="28"/>
        </w:rPr>
        <w:t>ь</w:t>
      </w:r>
      <w:r w:rsidRPr="00C20E88">
        <w:rPr>
          <w:rFonts w:ascii="Times New Roman" w:hAnsi="Times New Roman"/>
          <w:sz w:val="28"/>
          <w:szCs w:val="28"/>
        </w:rPr>
        <w:t>ством и международными соглашениями (16.10)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оощрять [...] недискриминационные законы и политик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в интересах устойч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вого развития (16.b).</w:t>
      </w:r>
    </w:p>
    <w:p w:rsidR="0019475D" w:rsidRPr="00C20E88" w:rsidRDefault="0019475D" w:rsidP="0019475D">
      <w:pPr>
        <w:tabs>
          <w:tab w:val="left" w:pos="1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III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Повышение участия системы </w:t>
      </w:r>
      <w:r>
        <w:rPr>
          <w:rFonts w:ascii="Times New Roman" w:hAnsi="Times New Roman"/>
          <w:sz w:val="28"/>
          <w:szCs w:val="28"/>
        </w:rPr>
        <w:t>правосудия</w:t>
      </w:r>
      <w:r w:rsidRPr="00C20E88">
        <w:rPr>
          <w:rFonts w:ascii="Times New Roman" w:hAnsi="Times New Roman"/>
          <w:sz w:val="28"/>
          <w:szCs w:val="28"/>
        </w:rPr>
        <w:t xml:space="preserve"> и антико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рупционных органов в предотвращении фактов коррупции, борьбе с ними и наказании за их совершение, усовершенствование механизма возвращения а</w:t>
      </w:r>
      <w:r w:rsidRPr="00C20E88"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тивов и обеспечение возмещения ущерба лицам, пострадавшим от корру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ции</w:t>
      </w: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Показатели воздействия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правосудию, прокуратуре, НЦБК и к Национальному органу по н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подкупности (НОН) значительно повысилось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езависимость и эффективность правосудия, прокуратуры, НЦБК и НОН обе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печены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осприятие коррумпированности </w:t>
      </w:r>
      <w:r>
        <w:rPr>
          <w:rFonts w:ascii="Times New Roman" w:hAnsi="Times New Roman"/>
          <w:sz w:val="28"/>
          <w:szCs w:val="28"/>
        </w:rPr>
        <w:t>сектора юстиции</w:t>
      </w:r>
      <w:r w:rsidRPr="00C20E88">
        <w:rPr>
          <w:rFonts w:ascii="Times New Roman" w:hAnsi="Times New Roman"/>
          <w:sz w:val="28"/>
          <w:szCs w:val="28"/>
        </w:rPr>
        <w:t xml:space="preserve"> снизилось</w:t>
      </w:r>
    </w:p>
    <w:p w:rsidR="0019475D" w:rsidRDefault="0019475D" w:rsidP="0019475D">
      <w:pPr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Отсутствие коррупции в секторе юстиции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20E88">
        <w:rPr>
          <w:rFonts w:ascii="Times New Roman" w:hAnsi="Times New Roman"/>
          <w:sz w:val="28"/>
          <w:szCs w:val="28"/>
        </w:rPr>
        <w:t>злоупотребления влиянием со стор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ны исполнительной власти в отношении правосудия.</w:t>
      </w:r>
    </w:p>
    <w:p w:rsidR="0019475D" w:rsidRPr="00C20E88" w:rsidRDefault="0019475D" w:rsidP="0019475D">
      <w:pPr>
        <w:tabs>
          <w:tab w:val="left" w:pos="317"/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240"/>
        <w:gridCol w:w="2928"/>
      </w:tblGrid>
      <w:tr w:rsidR="0019475D" w:rsidRPr="00EB253F" w:rsidTr="00630767">
        <w:trPr>
          <w:trHeight w:val="275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 xml:space="preserve"> III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Ожидаемые результаты</w:t>
            </w:r>
          </w:p>
        </w:tc>
        <w:tc>
          <w:tcPr>
            <w:tcW w:w="2928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Показатели результата</w:t>
            </w:r>
          </w:p>
        </w:tc>
      </w:tr>
      <w:tr w:rsidR="0019475D" w:rsidRPr="00EB253F" w:rsidTr="00630767">
        <w:trPr>
          <w:trHeight w:val="1454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III.1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Неподкупность антико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рупционных и правоохран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Укрепление и эффекти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ное применение инстр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ментов по обеспечению неподкупности правос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дия и антикоррупцио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8"/>
              </w:rPr>
              <w:t>органо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2928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Проведенные служе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б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ные расследования, взыскания, наложе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ные на судей, прок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роров, сотрудников НЦБК и НОН</w:t>
            </w:r>
          </w:p>
        </w:tc>
      </w:tr>
      <w:tr w:rsidR="0019475D" w:rsidRPr="00EB253F" w:rsidTr="00630767">
        <w:trPr>
          <w:trHeight w:val="956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III.2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Эффективность правос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дия и антикоррупционных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Укрепление деятельн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сти антикоррупционных </w:t>
            </w:r>
            <w:r>
              <w:rPr>
                <w:rFonts w:ascii="Times New Roman" w:hAnsi="Times New Roman"/>
                <w:sz w:val="24"/>
                <w:szCs w:val="28"/>
              </w:rPr>
              <w:t>органов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Применение наказаний, сдерживающих корру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цию</w:t>
            </w:r>
          </w:p>
        </w:tc>
        <w:tc>
          <w:tcPr>
            <w:tcW w:w="2928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Улучшенные стат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стические данные </w:t>
            </w:r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осуждения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 акты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оррупции и </w:t>
            </w:r>
            <w:r>
              <w:rPr>
                <w:rFonts w:ascii="Times New Roman" w:hAnsi="Times New Roman"/>
                <w:sz w:val="24"/>
                <w:szCs w:val="28"/>
              </w:rPr>
              <w:t>прира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ненные 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ним акты</w:t>
            </w:r>
          </w:p>
        </w:tc>
      </w:tr>
      <w:tr w:rsidR="0019475D" w:rsidRPr="00EB253F" w:rsidTr="00630767">
        <w:trPr>
          <w:trHeight w:val="1427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III.3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мер и мер по пред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преждению коррупции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Осведомленность о ста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дартах институционал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ь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ной и профессиональной неподкупности и их применение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работе пу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б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личных </w:t>
            </w:r>
            <w:r>
              <w:rPr>
                <w:rFonts w:ascii="Times New Roman" w:hAnsi="Times New Roman"/>
                <w:sz w:val="24"/>
                <w:szCs w:val="28"/>
              </w:rPr>
              <w:t>субъектов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кольник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 студент</w:t>
            </w:r>
            <w:r>
              <w:rPr>
                <w:rFonts w:ascii="Times New Roman" w:hAnsi="Times New Roman"/>
                <w:sz w:val="24"/>
                <w:szCs w:val="28"/>
              </w:rPr>
              <w:t>ы,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оспитан</w:t>
            </w:r>
            <w:r>
              <w:rPr>
                <w:rFonts w:ascii="Times New Roman" w:hAnsi="Times New Roman"/>
                <w:sz w:val="24"/>
                <w:szCs w:val="28"/>
              </w:rPr>
              <w:t>ные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в духе 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терпимости к коррупции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>Поданные публичн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8"/>
              </w:rPr>
              <w:t>агентами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уведо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ления об активном коррумпиров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нии и о ненадлежащем вли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нии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Поданные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>родител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ми, </w:t>
            </w:r>
            <w:r>
              <w:rPr>
                <w:rFonts w:ascii="Times New Roman" w:hAnsi="Times New Roman"/>
                <w:sz w:val="24"/>
                <w:szCs w:val="28"/>
              </w:rPr>
              <w:t>учащимися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 ст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дентами уведомления о проявлениях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рупции в школах и университетах, в том числе во время экз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менов</w:t>
            </w:r>
          </w:p>
        </w:tc>
      </w:tr>
      <w:tr w:rsidR="0019475D" w:rsidRPr="00EB253F" w:rsidTr="00630767">
        <w:trPr>
          <w:trHeight w:val="274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III.4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добытого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преступным путем имущес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Замораживание и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фискация имущества, пол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ченного в результате актов коррупции и </w:t>
            </w:r>
            <w:r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равненных 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актов, а также </w:t>
            </w:r>
            <w:r>
              <w:rPr>
                <w:rFonts w:ascii="Times New Roman" w:hAnsi="Times New Roman"/>
                <w:sz w:val="24"/>
                <w:szCs w:val="28"/>
              </w:rPr>
              <w:t>иной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преступной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деятельн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Предусматривающие конфискацию приг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воры по делам о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рупции</w:t>
            </w:r>
          </w:p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Переданные за гран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цу и исполненные в </w:t>
            </w:r>
            <w:r>
              <w:rPr>
                <w:rFonts w:ascii="Times New Roman" w:hAnsi="Times New Roman"/>
                <w:sz w:val="24"/>
                <w:szCs w:val="28"/>
              </w:rPr>
              <w:t>Республ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ке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Молдов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поручения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судебных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инстанций о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замор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живани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имущества, полученного престу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ным путем</w:t>
            </w:r>
          </w:p>
        </w:tc>
      </w:tr>
      <w:tr w:rsidR="0019475D" w:rsidRPr="00EB253F" w:rsidTr="00630767">
        <w:trPr>
          <w:trHeight w:val="1346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III.5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Возмещение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ущерба жертвам коррупции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Возмещение ущерба, 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несенного государством и лицами в результате актов корруп</w:t>
            </w:r>
            <w:r>
              <w:rPr>
                <w:rFonts w:ascii="Times New Roman" w:hAnsi="Times New Roman"/>
                <w:sz w:val="24"/>
                <w:szCs w:val="28"/>
              </w:rPr>
              <w:t>ц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ии 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Положительная дин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мика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статистики о добровольно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возм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щении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ущерба, нан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сенного акт</w:t>
            </w:r>
            <w:r>
              <w:rPr>
                <w:rFonts w:ascii="Times New Roman" w:hAnsi="Times New Roman"/>
                <w:sz w:val="24"/>
                <w:szCs w:val="28"/>
              </w:rPr>
              <w:t>ами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ко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рупции 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смежными с ними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</w:rPr>
              <w:t>ами</w:t>
            </w:r>
          </w:p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Возмещенный на 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новании гражданских исков, поданных пр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курорами в интересах государства, ущерб, нанесенный акт</w:t>
            </w:r>
            <w:r>
              <w:rPr>
                <w:rFonts w:ascii="Times New Roman" w:hAnsi="Times New Roman"/>
                <w:sz w:val="24"/>
                <w:szCs w:val="28"/>
              </w:rPr>
              <w:t>ами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коррупции и </w:t>
            </w:r>
            <w:r>
              <w:rPr>
                <w:rFonts w:ascii="Times New Roman" w:hAnsi="Times New Roman"/>
                <w:sz w:val="24"/>
                <w:szCs w:val="28"/>
              </w:rPr>
              <w:t>смежн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с ними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8"/>
              </w:rPr>
              <w:t>ами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19475D" w:rsidRDefault="0019475D" w:rsidP="0019475D">
      <w:pPr>
        <w:keepNext/>
        <w:spacing w:after="0" w:line="240" w:lineRule="auto"/>
        <w:ind w:firstLine="708"/>
        <w:outlineLvl w:val="1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bookmarkStart w:id="29" w:name="_Toc468129269"/>
    </w:p>
    <w:p w:rsidR="0019475D" w:rsidRPr="00A96771" w:rsidRDefault="0019475D" w:rsidP="0019475D">
      <w:pPr>
        <w:keepNext/>
        <w:spacing w:after="0" w:line="240" w:lineRule="auto"/>
        <w:ind w:firstLine="708"/>
        <w:outlineLvl w:val="1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A96771">
        <w:rPr>
          <w:rFonts w:ascii="Times New Roman" w:hAnsi="Times New Roman"/>
          <w:b/>
          <w:bCs/>
          <w:i/>
          <w:color w:val="002060"/>
          <w:sz w:val="28"/>
          <w:szCs w:val="28"/>
        </w:rPr>
        <w:t>Опор</w:t>
      </w:r>
      <w:r>
        <w:rPr>
          <w:rFonts w:ascii="Times New Roman" w:hAnsi="Times New Roman"/>
          <w:b/>
          <w:bCs/>
          <w:i/>
          <w:color w:val="002060"/>
          <w:sz w:val="28"/>
          <w:szCs w:val="28"/>
        </w:rPr>
        <w:t>а</w:t>
      </w:r>
      <w:r w:rsidRPr="00A96771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IV:</w:t>
      </w:r>
      <w:r w:rsidRPr="00A96771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A96771">
        <w:rPr>
          <w:rFonts w:ascii="Times New Roman" w:hAnsi="Times New Roman"/>
          <w:b/>
          <w:bCs/>
          <w:i/>
          <w:color w:val="002060"/>
          <w:sz w:val="28"/>
          <w:szCs w:val="28"/>
        </w:rPr>
        <w:t>Центральная избирательная комиссия и политические партии</w:t>
      </w:r>
      <w:bookmarkEnd w:id="29"/>
      <w:r w:rsidRPr="00A96771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pStyle w:val="21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  <w:r w:rsidRPr="00C20E88">
        <w:rPr>
          <w:i/>
          <w:iCs/>
          <w:color w:val="002060"/>
          <w:sz w:val="28"/>
          <w:szCs w:val="28"/>
          <w:lang w:val="ru-RU"/>
        </w:rPr>
        <w:t>Описание проблемы</w:t>
      </w:r>
      <w:r w:rsidRPr="001D61CD">
        <w:rPr>
          <w:iCs/>
          <w:color w:val="002060"/>
          <w:sz w:val="28"/>
          <w:szCs w:val="28"/>
          <w:lang w:val="ru-RU"/>
        </w:rPr>
        <w:t>:</w:t>
      </w:r>
      <w:r w:rsidRPr="00C20E88">
        <w:rPr>
          <w:sz w:val="28"/>
          <w:szCs w:val="28"/>
          <w:lang w:val="ru-RU"/>
        </w:rPr>
        <w:t xml:space="preserve"> </w:t>
      </w:r>
      <w:proofErr w:type="gramStart"/>
      <w:r w:rsidRPr="00C20E88">
        <w:rPr>
          <w:sz w:val="28"/>
          <w:szCs w:val="28"/>
          <w:lang w:val="ru-RU"/>
        </w:rPr>
        <w:t>Центральная избирательная комиссия (ЦИК) явл</w:t>
      </w:r>
      <w:r w:rsidRPr="00C20E88">
        <w:rPr>
          <w:sz w:val="28"/>
          <w:szCs w:val="28"/>
          <w:lang w:val="ru-RU"/>
        </w:rPr>
        <w:t>я</w:t>
      </w:r>
      <w:r w:rsidRPr="00C20E88">
        <w:rPr>
          <w:sz w:val="28"/>
          <w:szCs w:val="28"/>
          <w:lang w:val="ru-RU"/>
        </w:rPr>
        <w:t>ется консолидированным учреждением в сфере управления избирательным процессом, которое в п</w:t>
      </w:r>
      <w:r w:rsidRPr="00C20E88">
        <w:rPr>
          <w:sz w:val="28"/>
          <w:szCs w:val="28"/>
          <w:lang w:val="ru-RU"/>
        </w:rPr>
        <w:t>о</w:t>
      </w:r>
      <w:r w:rsidRPr="00C20E88">
        <w:rPr>
          <w:sz w:val="28"/>
          <w:szCs w:val="28"/>
          <w:lang w:val="ru-RU"/>
        </w:rPr>
        <w:t xml:space="preserve">следние годы, </w:t>
      </w:r>
      <w:r w:rsidRPr="00C20E88">
        <w:rPr>
          <w:rStyle w:val="23"/>
          <w:sz w:val="28"/>
          <w:szCs w:val="28"/>
          <w:lang w:val="ru-RU"/>
        </w:rPr>
        <w:t xml:space="preserve">при посредстве Центра </w:t>
      </w:r>
      <w:r w:rsidRPr="00C20E88">
        <w:rPr>
          <w:rStyle w:val="23"/>
          <w:sz w:val="28"/>
          <w:szCs w:val="28"/>
          <w:lang w:val="ru-RU"/>
        </w:rPr>
        <w:lastRenderedPageBreak/>
        <w:t>непрерывного обучения</w:t>
      </w:r>
      <w:r w:rsidRPr="00C20E88">
        <w:rPr>
          <w:rStyle w:val="24"/>
          <w:sz w:val="28"/>
          <w:szCs w:val="28"/>
          <w:lang w:val="ru-RU"/>
        </w:rPr>
        <w:t xml:space="preserve"> в избирательной сфере</w:t>
      </w:r>
      <w:r w:rsidRPr="00C20E88">
        <w:rPr>
          <w:sz w:val="28"/>
          <w:szCs w:val="28"/>
          <w:lang w:val="ru-RU"/>
        </w:rPr>
        <w:t xml:space="preserve"> (ЦНОИС) разработало эффективные пр</w:t>
      </w:r>
      <w:r w:rsidRPr="00C20E88">
        <w:rPr>
          <w:sz w:val="28"/>
          <w:szCs w:val="28"/>
          <w:lang w:val="ru-RU"/>
        </w:rPr>
        <w:t>о</w:t>
      </w:r>
      <w:r w:rsidRPr="00C20E88">
        <w:rPr>
          <w:sz w:val="28"/>
          <w:szCs w:val="28"/>
          <w:lang w:val="ru-RU"/>
        </w:rPr>
        <w:t>граммы обучения, значительно улучшило связи с общественностью и пр</w:t>
      </w:r>
      <w:r w:rsidRPr="00C20E88">
        <w:rPr>
          <w:sz w:val="28"/>
          <w:szCs w:val="28"/>
          <w:lang w:val="ru-RU"/>
        </w:rPr>
        <w:t>о</w:t>
      </w:r>
      <w:r w:rsidRPr="00C20E88">
        <w:rPr>
          <w:sz w:val="28"/>
          <w:szCs w:val="28"/>
          <w:lang w:val="ru-RU"/>
        </w:rPr>
        <w:t>зрачность осуществляемой деятельности</w:t>
      </w:r>
      <w:r w:rsidRPr="00C20E88">
        <w:rPr>
          <w:sz w:val="28"/>
          <w:szCs w:val="28"/>
          <w:vertAlign w:val="superscript"/>
          <w:lang w:val="ru-RU"/>
        </w:rPr>
        <w:footnoteReference w:id="30"/>
      </w:r>
      <w:r w:rsidRPr="00C20E88">
        <w:rPr>
          <w:sz w:val="28"/>
          <w:szCs w:val="28"/>
          <w:lang w:val="ru-RU"/>
        </w:rPr>
        <w:t>. Вопреки постоянно положител</w:t>
      </w:r>
      <w:r w:rsidRPr="00C20E88">
        <w:rPr>
          <w:sz w:val="28"/>
          <w:szCs w:val="28"/>
          <w:lang w:val="ru-RU"/>
        </w:rPr>
        <w:t>ь</w:t>
      </w:r>
      <w:r w:rsidRPr="00C20E88">
        <w:rPr>
          <w:sz w:val="28"/>
          <w:szCs w:val="28"/>
          <w:lang w:val="ru-RU"/>
        </w:rPr>
        <w:t>ным оценкам ОБСЕ/БДИПЧ и Гражданской коалиции по свободным и ко</w:t>
      </w:r>
      <w:r w:rsidRPr="00C20E88">
        <w:rPr>
          <w:sz w:val="28"/>
          <w:szCs w:val="28"/>
          <w:lang w:val="ru-RU"/>
        </w:rPr>
        <w:t>р</w:t>
      </w:r>
      <w:r w:rsidRPr="00C20E88">
        <w:rPr>
          <w:sz w:val="28"/>
          <w:szCs w:val="28"/>
          <w:lang w:val="ru-RU"/>
        </w:rPr>
        <w:t xml:space="preserve">ректным выборам </w:t>
      </w:r>
      <w:r>
        <w:rPr>
          <w:sz w:val="28"/>
          <w:szCs w:val="28"/>
          <w:lang w:val="ru-RU"/>
        </w:rPr>
        <w:t>относительно</w:t>
      </w:r>
      <w:r w:rsidRPr="002D139B">
        <w:rPr>
          <w:sz w:val="28"/>
          <w:szCs w:val="28"/>
          <w:lang w:val="ru-RU"/>
        </w:rPr>
        <w:t xml:space="preserve"> </w:t>
      </w:r>
      <w:r w:rsidRPr="00C20E88">
        <w:rPr>
          <w:sz w:val="28"/>
          <w:szCs w:val="28"/>
          <w:lang w:val="ru-RU"/>
        </w:rPr>
        <w:t>эффективно</w:t>
      </w:r>
      <w:r>
        <w:rPr>
          <w:sz w:val="28"/>
          <w:szCs w:val="28"/>
          <w:lang w:val="ru-RU"/>
        </w:rPr>
        <w:t>сти</w:t>
      </w:r>
      <w:r w:rsidRPr="002D139B">
        <w:rPr>
          <w:sz w:val="28"/>
          <w:szCs w:val="28"/>
          <w:lang w:val="ru-RU"/>
        </w:rPr>
        <w:t xml:space="preserve"> </w:t>
      </w:r>
      <w:r w:rsidRPr="00C20E88">
        <w:rPr>
          <w:sz w:val="28"/>
          <w:szCs w:val="28"/>
          <w:lang w:val="ru-RU"/>
        </w:rPr>
        <w:t>управл</w:t>
      </w:r>
      <w:r>
        <w:rPr>
          <w:sz w:val="28"/>
          <w:szCs w:val="28"/>
          <w:lang w:val="ru-RU"/>
        </w:rPr>
        <w:t>ения</w:t>
      </w:r>
      <w:r w:rsidRPr="00C20E88">
        <w:rPr>
          <w:sz w:val="28"/>
          <w:szCs w:val="28"/>
          <w:lang w:val="ru-RU"/>
        </w:rPr>
        <w:t xml:space="preserve"> выбор</w:t>
      </w:r>
      <w:r>
        <w:rPr>
          <w:sz w:val="28"/>
          <w:szCs w:val="28"/>
          <w:lang w:val="ru-RU"/>
        </w:rPr>
        <w:t>ами</w:t>
      </w:r>
      <w:r w:rsidRPr="00C20E88">
        <w:rPr>
          <w:sz w:val="28"/>
          <w:szCs w:val="28"/>
          <w:lang w:val="ru-RU"/>
        </w:rPr>
        <w:t>, р</w:t>
      </w:r>
      <w:r w:rsidRPr="00C20E88">
        <w:rPr>
          <w:sz w:val="28"/>
          <w:szCs w:val="28"/>
          <w:lang w:val="ru-RU"/>
        </w:rPr>
        <w:t>е</w:t>
      </w:r>
      <w:r w:rsidRPr="00C20E88">
        <w:rPr>
          <w:sz w:val="28"/>
          <w:szCs w:val="28"/>
          <w:lang w:val="ru-RU"/>
        </w:rPr>
        <w:t>зультаты публичных опросов свидетельствуют</w:t>
      </w:r>
      <w:proofErr w:type="gramEnd"/>
      <w:r w:rsidRPr="00C20E88">
        <w:rPr>
          <w:sz w:val="28"/>
          <w:szCs w:val="28"/>
          <w:lang w:val="ru-RU"/>
        </w:rPr>
        <w:t xml:space="preserve"> о невысоком уровне доверия общественности к возможностям организации свободных и непредвзятых в</w:t>
      </w:r>
      <w:r w:rsidRPr="00C20E88">
        <w:rPr>
          <w:sz w:val="28"/>
          <w:szCs w:val="28"/>
          <w:lang w:val="ru-RU"/>
        </w:rPr>
        <w:t>ы</w:t>
      </w:r>
      <w:r w:rsidRPr="00C20E88">
        <w:rPr>
          <w:sz w:val="28"/>
          <w:szCs w:val="28"/>
          <w:lang w:val="ru-RU"/>
        </w:rPr>
        <w:t>боров. Главные критические замечания в адрес учреждения относятся к уя</w:t>
      </w:r>
      <w:r w:rsidRPr="00C20E88">
        <w:rPr>
          <w:sz w:val="28"/>
          <w:szCs w:val="28"/>
          <w:lang w:val="ru-RU"/>
        </w:rPr>
        <w:t>з</w:t>
      </w:r>
      <w:r w:rsidRPr="00C20E88">
        <w:rPr>
          <w:sz w:val="28"/>
          <w:szCs w:val="28"/>
          <w:lang w:val="ru-RU"/>
        </w:rPr>
        <w:t xml:space="preserve">вимости ЦИК перед политическим влиянием; ограниченные возможности </w:t>
      </w:r>
      <w:r>
        <w:rPr>
          <w:rStyle w:val="24"/>
          <w:sz w:val="28"/>
          <w:szCs w:val="28"/>
          <w:lang w:val="ru-RU"/>
        </w:rPr>
        <w:t>служащих</w:t>
      </w:r>
      <w:r w:rsidRPr="00C20E88">
        <w:rPr>
          <w:sz w:val="28"/>
          <w:szCs w:val="28"/>
          <w:lang w:val="ru-RU"/>
        </w:rPr>
        <w:t xml:space="preserve"> низших избирательных органов</w:t>
      </w:r>
      <w:r w:rsidRPr="00C20E88">
        <w:rPr>
          <w:rStyle w:val="23"/>
          <w:sz w:val="28"/>
          <w:szCs w:val="28"/>
          <w:lang w:val="ru-RU"/>
        </w:rPr>
        <w:t>; отсутствие адекватной реакции на нарушение избирательного законодательства, в частности, в области финанс</w:t>
      </w:r>
      <w:r w:rsidRPr="00C20E88">
        <w:rPr>
          <w:rStyle w:val="23"/>
          <w:sz w:val="28"/>
          <w:szCs w:val="28"/>
          <w:lang w:val="ru-RU"/>
        </w:rPr>
        <w:t>и</w:t>
      </w:r>
      <w:r w:rsidRPr="00C20E88">
        <w:rPr>
          <w:rStyle w:val="23"/>
          <w:sz w:val="28"/>
          <w:szCs w:val="28"/>
          <w:lang w:val="ru-RU"/>
        </w:rPr>
        <w:t>рования политических партий и избирательных камп</w:t>
      </w:r>
      <w:r w:rsidRPr="00C20E88">
        <w:rPr>
          <w:rStyle w:val="23"/>
          <w:sz w:val="28"/>
          <w:szCs w:val="28"/>
          <w:lang w:val="ru-RU"/>
        </w:rPr>
        <w:t>а</w:t>
      </w:r>
      <w:r w:rsidRPr="00C20E88">
        <w:rPr>
          <w:rStyle w:val="23"/>
          <w:sz w:val="28"/>
          <w:szCs w:val="28"/>
          <w:lang w:val="ru-RU"/>
        </w:rPr>
        <w:t xml:space="preserve">ний.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Деятельность политических партий является важнейшим показателем демократизации общества, играя значительную роль как в становлении и функционировании государственных учреждений, если </w:t>
      </w:r>
      <w:r>
        <w:rPr>
          <w:rFonts w:ascii="Times New Roman" w:hAnsi="Times New Roman"/>
          <w:sz w:val="28"/>
          <w:szCs w:val="28"/>
        </w:rPr>
        <w:t>партии</w:t>
      </w:r>
      <w:r w:rsidRPr="00C20E88">
        <w:rPr>
          <w:rFonts w:ascii="Times New Roman" w:hAnsi="Times New Roman"/>
          <w:sz w:val="28"/>
          <w:szCs w:val="28"/>
        </w:rPr>
        <w:t xml:space="preserve"> находятся у власти, так и в продвижении альтернативных вариантов правления, если речь идет об оппозиции. Вопреки </w:t>
      </w:r>
      <w:r>
        <w:rPr>
          <w:rFonts w:ascii="Times New Roman" w:hAnsi="Times New Roman"/>
          <w:sz w:val="28"/>
          <w:szCs w:val="28"/>
        </w:rPr>
        <w:t>многочисленности</w:t>
      </w:r>
      <w:r w:rsidRPr="00C20E88">
        <w:rPr>
          <w:rFonts w:ascii="Times New Roman" w:hAnsi="Times New Roman"/>
          <w:sz w:val="28"/>
          <w:szCs w:val="28"/>
        </w:rPr>
        <w:t xml:space="preserve"> партий и их чередованию у власти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уровень доверия населения к политическим партиям не</w:t>
      </w:r>
      <w:r>
        <w:rPr>
          <w:rFonts w:ascii="Times New Roman" w:hAnsi="Times New Roman"/>
          <w:sz w:val="28"/>
          <w:szCs w:val="28"/>
        </w:rPr>
        <w:t>велик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1"/>
      </w:r>
      <w:r w:rsidRPr="00C20E88">
        <w:rPr>
          <w:rFonts w:ascii="Times New Roman" w:hAnsi="Times New Roman"/>
          <w:sz w:val="28"/>
          <w:szCs w:val="28"/>
        </w:rPr>
        <w:t>. В 2015 году ГРЕКО завершила третий раунд процедуры оценки соответствия Респу</w:t>
      </w:r>
      <w:r w:rsidRPr="00C20E88">
        <w:rPr>
          <w:rFonts w:ascii="Times New Roman" w:hAnsi="Times New Roman"/>
          <w:sz w:val="28"/>
          <w:szCs w:val="28"/>
        </w:rPr>
        <w:t>б</w:t>
      </w:r>
      <w:r w:rsidRPr="00C20E88">
        <w:rPr>
          <w:rFonts w:ascii="Times New Roman" w:hAnsi="Times New Roman"/>
          <w:sz w:val="28"/>
          <w:szCs w:val="28"/>
        </w:rPr>
        <w:t xml:space="preserve">лики Молдова критериям участия в </w:t>
      </w:r>
      <w:r>
        <w:rPr>
          <w:rFonts w:ascii="Times New Roman" w:hAnsi="Times New Roman"/>
          <w:sz w:val="28"/>
          <w:szCs w:val="28"/>
        </w:rPr>
        <w:t>отношении</w:t>
      </w:r>
      <w:r w:rsidRPr="00C20E88">
        <w:rPr>
          <w:rFonts w:ascii="Times New Roman" w:hAnsi="Times New Roman"/>
          <w:sz w:val="28"/>
          <w:szCs w:val="28"/>
        </w:rPr>
        <w:t xml:space="preserve"> прозрачности финансирования политических партий. </w:t>
      </w:r>
      <w:proofErr w:type="gramStart"/>
      <w:r w:rsidRPr="00C20E88">
        <w:rPr>
          <w:rFonts w:ascii="Times New Roman" w:hAnsi="Times New Roman"/>
          <w:sz w:val="28"/>
          <w:szCs w:val="28"/>
        </w:rPr>
        <w:t>Согласно Дополнению ко второму Отчету о соотве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ствии Республики Молдова</w:t>
      </w:r>
      <w:r w:rsidRPr="00C20E88">
        <w:rPr>
          <w:rFonts w:ascii="Times New Roman" w:hAnsi="Times New Roman"/>
          <w:sz w:val="28"/>
          <w:szCs w:val="28"/>
          <w:vertAlign w:val="superscript"/>
        </w:rPr>
        <w:footnoteReference w:id="32"/>
      </w:r>
      <w:r w:rsidRPr="00C20E88">
        <w:rPr>
          <w:rFonts w:ascii="Times New Roman" w:hAnsi="Times New Roman"/>
          <w:sz w:val="28"/>
          <w:szCs w:val="28"/>
        </w:rPr>
        <w:t>, ГРЕКО установила, что большинство рекоме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 xml:space="preserve">даций применены на удовлетворительном уровне и </w:t>
      </w:r>
      <w:r>
        <w:rPr>
          <w:rFonts w:ascii="Times New Roman" w:hAnsi="Times New Roman"/>
          <w:sz w:val="28"/>
          <w:szCs w:val="28"/>
        </w:rPr>
        <w:t>отметила</w:t>
      </w:r>
      <w:r w:rsidRPr="00C20E88">
        <w:rPr>
          <w:rFonts w:ascii="Times New Roman" w:hAnsi="Times New Roman"/>
          <w:sz w:val="28"/>
          <w:szCs w:val="28"/>
        </w:rPr>
        <w:t xml:space="preserve"> необходимость четко</w:t>
      </w:r>
      <w:r>
        <w:rPr>
          <w:rFonts w:ascii="Times New Roman" w:hAnsi="Times New Roman"/>
          <w:sz w:val="28"/>
          <w:szCs w:val="28"/>
        </w:rPr>
        <w:t>го</w:t>
      </w:r>
      <w:r w:rsidRPr="00C20E88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>ия</w:t>
      </w:r>
      <w:r w:rsidRPr="00C20E88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C20E88">
        <w:rPr>
          <w:rFonts w:ascii="Times New Roman" w:hAnsi="Times New Roman"/>
          <w:sz w:val="28"/>
          <w:szCs w:val="28"/>
        </w:rPr>
        <w:t xml:space="preserve"> правил общего финансирования полит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ческих партий и избирательных кампаний </w:t>
      </w:r>
      <w:r>
        <w:rPr>
          <w:rFonts w:ascii="Times New Roman" w:hAnsi="Times New Roman"/>
          <w:sz w:val="28"/>
          <w:szCs w:val="28"/>
        </w:rPr>
        <w:t>и назначения за них</w:t>
      </w:r>
      <w:r w:rsidRPr="00C20E88">
        <w:rPr>
          <w:rFonts w:ascii="Times New Roman" w:hAnsi="Times New Roman"/>
          <w:sz w:val="28"/>
          <w:szCs w:val="28"/>
        </w:rPr>
        <w:t xml:space="preserve"> эффективны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санкци</w:t>
      </w:r>
      <w:r>
        <w:rPr>
          <w:rFonts w:ascii="Times New Roman" w:hAnsi="Times New Roman"/>
          <w:sz w:val="28"/>
          <w:szCs w:val="28"/>
        </w:rPr>
        <w:t>й</w:t>
      </w:r>
      <w:r w:rsidRPr="00C20E88">
        <w:rPr>
          <w:rFonts w:ascii="Times New Roman" w:hAnsi="Times New Roman"/>
          <w:sz w:val="28"/>
          <w:szCs w:val="28"/>
        </w:rPr>
        <w:t>, соразмерны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и сдерживающи</w:t>
      </w:r>
      <w:r>
        <w:rPr>
          <w:rFonts w:ascii="Times New Roman" w:hAnsi="Times New Roman"/>
          <w:sz w:val="28"/>
          <w:szCs w:val="28"/>
        </w:rPr>
        <w:t>х,</w:t>
      </w:r>
      <w:r w:rsidRPr="00C20E88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>яемых</w:t>
      </w:r>
      <w:r w:rsidRPr="00C20E88">
        <w:rPr>
          <w:rFonts w:ascii="Times New Roman" w:hAnsi="Times New Roman"/>
          <w:sz w:val="28"/>
          <w:szCs w:val="28"/>
        </w:rPr>
        <w:t xml:space="preserve"> при необходимости после признания выборов действительными Конституционным судом.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В Отч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те ГРЕКО указано также, что для эффективного применения новых норм необходимо </w:t>
      </w:r>
      <w:r w:rsidRPr="004157DC">
        <w:rPr>
          <w:rFonts w:ascii="Times New Roman" w:hAnsi="Times New Roman"/>
          <w:iCs/>
          <w:sz w:val="28"/>
          <w:szCs w:val="28"/>
        </w:rPr>
        <w:t>«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оснастить механизм надзора, который сейчас сосредоточен в рамках Центральной избирательной комиссии, необходимыми ресурсами для проведения существенного и </w:t>
      </w:r>
      <w:proofErr w:type="spellStart"/>
      <w:r w:rsidRPr="00C20E88">
        <w:rPr>
          <w:rFonts w:ascii="Times New Roman" w:hAnsi="Times New Roman"/>
          <w:i/>
          <w:iCs/>
          <w:sz w:val="28"/>
          <w:szCs w:val="28"/>
        </w:rPr>
        <w:t>проактивного</w:t>
      </w:r>
      <w:proofErr w:type="spellEnd"/>
      <w:r w:rsidRPr="00C20E88">
        <w:rPr>
          <w:rFonts w:ascii="Times New Roman" w:hAnsi="Times New Roman"/>
          <w:i/>
          <w:iCs/>
          <w:sz w:val="28"/>
          <w:szCs w:val="28"/>
        </w:rPr>
        <w:t xml:space="preserve"> контроля финансирования изб</w:t>
      </w:r>
      <w:r w:rsidRPr="00C20E88">
        <w:rPr>
          <w:rFonts w:ascii="Times New Roman" w:hAnsi="Times New Roman"/>
          <w:i/>
          <w:iCs/>
          <w:sz w:val="28"/>
          <w:szCs w:val="28"/>
        </w:rPr>
        <w:t>и</w:t>
      </w:r>
      <w:r w:rsidRPr="00C20E88">
        <w:rPr>
          <w:rFonts w:ascii="Times New Roman" w:hAnsi="Times New Roman"/>
          <w:i/>
          <w:iCs/>
          <w:sz w:val="28"/>
          <w:szCs w:val="28"/>
        </w:rPr>
        <w:t>рательных кампаний и политических партий в целом</w:t>
      </w:r>
      <w:r w:rsidRPr="004157DC">
        <w:rPr>
          <w:rFonts w:ascii="Times New Roman" w:hAnsi="Times New Roman"/>
          <w:iCs/>
          <w:sz w:val="28"/>
          <w:szCs w:val="28"/>
        </w:rPr>
        <w:t>»</w:t>
      </w:r>
      <w:r w:rsidRPr="00C20E88">
        <w:rPr>
          <w:rFonts w:ascii="Times New Roman" w:hAnsi="Times New Roman"/>
          <w:i/>
          <w:iCs/>
          <w:sz w:val="28"/>
          <w:szCs w:val="28"/>
        </w:rPr>
        <w:t>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Действующие</w:t>
      </w:r>
      <w:r w:rsidRPr="00C20E88">
        <w:rPr>
          <w:rFonts w:ascii="Times New Roman" w:hAnsi="Times New Roman"/>
          <w:sz w:val="28"/>
          <w:szCs w:val="28"/>
        </w:rPr>
        <w:t xml:space="preserve"> положения Закона о политических партиях № 294/2007 и Кодекса о выборах устанавливают, что ЦИК обеспечивает на</w:t>
      </w:r>
      <w:r w:rsidRPr="00C20E88"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 xml:space="preserve">зор и контроль за финансированием политических партий и избирательных кампаний, </w:t>
      </w:r>
      <w:r w:rsidRPr="00C20E88">
        <w:rPr>
          <w:rFonts w:ascii="Times New Roman" w:hAnsi="Times New Roman"/>
          <w:sz w:val="28"/>
          <w:szCs w:val="28"/>
        </w:rPr>
        <w:lastRenderedPageBreak/>
        <w:t>собирает и систематизирует полугодовые и годовые отчеты о финансовом м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неджменте политических партий, аудиторские заключения по политическим партиям и отчеты о финансировании избирательных кампаний, представле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ные конкурентами на выборах, а также обеспечивает размещение на своей официальной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веб-странице </w:t>
      </w:r>
      <w:r>
        <w:rPr>
          <w:rFonts w:ascii="Times New Roman" w:hAnsi="Times New Roman"/>
          <w:sz w:val="28"/>
          <w:szCs w:val="28"/>
        </w:rPr>
        <w:t>соответствующей</w:t>
      </w:r>
      <w:r w:rsidRPr="00C20E88">
        <w:rPr>
          <w:rFonts w:ascii="Times New Roman" w:hAnsi="Times New Roman"/>
          <w:sz w:val="28"/>
          <w:szCs w:val="28"/>
        </w:rPr>
        <w:t xml:space="preserve"> информации и отчетов. 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E88">
        <w:rPr>
          <w:rFonts w:ascii="Times New Roman" w:hAnsi="Times New Roman"/>
          <w:sz w:val="28"/>
          <w:szCs w:val="28"/>
        </w:rPr>
        <w:t xml:space="preserve">Вместе с тем ЦИК вправе </w:t>
      </w:r>
      <w:r>
        <w:rPr>
          <w:rFonts w:ascii="Times New Roman" w:hAnsi="Times New Roman"/>
          <w:sz w:val="28"/>
          <w:szCs w:val="28"/>
        </w:rPr>
        <w:t>устанавливать</w:t>
      </w:r>
      <w:r w:rsidRPr="00C20E8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, </w:t>
      </w:r>
      <w:r w:rsidRPr="00C20E88">
        <w:rPr>
          <w:rStyle w:val="apple-converted-space"/>
          <w:rFonts w:ascii="Times New Roman" w:hAnsi="Times New Roman"/>
          <w:color w:val="000000"/>
          <w:sz w:val="28"/>
          <w:szCs w:val="28"/>
        </w:rPr>
        <w:t>связанны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е</w:t>
      </w:r>
      <w:r w:rsidRPr="00C20E8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 </w:t>
      </w:r>
      <w:r w:rsidRPr="00C20E88">
        <w:rPr>
          <w:rFonts w:ascii="Times New Roman" w:hAnsi="Times New Roman"/>
          <w:color w:val="000000"/>
          <w:sz w:val="28"/>
          <w:szCs w:val="28"/>
        </w:rPr>
        <w:t>н</w:t>
      </w:r>
      <w:r w:rsidRPr="00C20E88">
        <w:rPr>
          <w:rFonts w:ascii="Times New Roman" w:hAnsi="Times New Roman"/>
          <w:color w:val="000000"/>
          <w:sz w:val="28"/>
          <w:szCs w:val="28"/>
        </w:rPr>
        <w:t>е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представлением политическими партиями и конкурентами на выборах отчетов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20E88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>ом менеджменте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в установленные сроки и </w:t>
      </w:r>
      <w:r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C20E88">
        <w:rPr>
          <w:rFonts w:ascii="Times New Roman" w:hAnsi="Times New Roman"/>
          <w:color w:val="000000"/>
          <w:sz w:val="28"/>
          <w:szCs w:val="28"/>
        </w:rPr>
        <w:t>а</w:t>
      </w:r>
      <w:r w:rsidRPr="00C20E88"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формате, в том числе представление отчет</w:t>
      </w:r>
      <w:r>
        <w:rPr>
          <w:rFonts w:ascii="Times New Roman" w:hAnsi="Times New Roman"/>
          <w:color w:val="000000"/>
          <w:sz w:val="28"/>
          <w:szCs w:val="28"/>
        </w:rPr>
        <w:t>ов с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неполны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 w:rsidRPr="00C20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с </w:t>
      </w:r>
      <w:r w:rsidRPr="00C20E88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установленный </w:t>
      </w:r>
      <w:r w:rsidRPr="00C20E88">
        <w:rPr>
          <w:rFonts w:ascii="Times New Roman" w:hAnsi="Times New Roman"/>
          <w:sz w:val="28"/>
          <w:szCs w:val="28"/>
        </w:rPr>
        <w:t>срок или представление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ненадлежащих</w:t>
      </w:r>
      <w:r w:rsidRPr="00C20E88">
        <w:rPr>
          <w:rFonts w:ascii="Times New Roman" w:hAnsi="Times New Roman"/>
          <w:sz w:val="28"/>
          <w:szCs w:val="28"/>
        </w:rPr>
        <w:t xml:space="preserve"> финансовых отчетов политических партий, других общественно-политических организаций или конкурентов на выборах.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ЦИК также </w:t>
      </w:r>
      <w:r>
        <w:rPr>
          <w:rFonts w:ascii="Times New Roman" w:hAnsi="Times New Roman"/>
          <w:sz w:val="28"/>
          <w:szCs w:val="28"/>
        </w:rPr>
        <w:t>со</w:t>
      </w:r>
      <w:r w:rsidRPr="00C20E88">
        <w:rPr>
          <w:rFonts w:ascii="Times New Roman" w:hAnsi="Times New Roman"/>
          <w:sz w:val="28"/>
          <w:szCs w:val="28"/>
        </w:rPr>
        <w:t>общает компетен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 w:rsidRPr="00C20E8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 о правонарушениях</w:t>
      </w:r>
      <w:r w:rsidRPr="00C20E88">
        <w:rPr>
          <w:rFonts w:ascii="Times New Roman" w:hAnsi="Times New Roman"/>
          <w:sz w:val="28"/>
          <w:szCs w:val="28"/>
        </w:rPr>
        <w:t xml:space="preserve"> и уголовны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преступлениях</w:t>
      </w:r>
      <w:r w:rsidRPr="00C20E88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>х</w:t>
      </w:r>
      <w:r w:rsidRPr="00C20E88">
        <w:rPr>
          <w:rFonts w:ascii="Times New Roman" w:hAnsi="Times New Roman"/>
          <w:sz w:val="28"/>
          <w:szCs w:val="28"/>
        </w:rPr>
        <w:t xml:space="preserve"> налогового законодательства. </w:t>
      </w:r>
      <w:r w:rsidRPr="00C20E88">
        <w:rPr>
          <w:rStyle w:val="24"/>
          <w:sz w:val="28"/>
          <w:szCs w:val="28"/>
        </w:rPr>
        <w:t xml:space="preserve">Таким </w:t>
      </w:r>
      <w:proofErr w:type="gramStart"/>
      <w:r w:rsidRPr="00C20E88">
        <w:rPr>
          <w:rStyle w:val="24"/>
          <w:sz w:val="28"/>
          <w:szCs w:val="28"/>
        </w:rPr>
        <w:t>образом</w:t>
      </w:r>
      <w:proofErr w:type="gramEnd"/>
      <w:r w:rsidRPr="00C20E88">
        <w:rPr>
          <w:rStyle w:val="24"/>
          <w:sz w:val="28"/>
          <w:szCs w:val="28"/>
        </w:rPr>
        <w:t xml:space="preserve"> ЦИК, в силу вв</w:t>
      </w:r>
      <w:r w:rsidRPr="00C20E88">
        <w:rPr>
          <w:rStyle w:val="24"/>
          <w:sz w:val="28"/>
          <w:szCs w:val="28"/>
        </w:rPr>
        <w:t>е</w:t>
      </w:r>
      <w:r w:rsidRPr="00C20E88">
        <w:rPr>
          <w:rStyle w:val="24"/>
          <w:sz w:val="28"/>
          <w:szCs w:val="28"/>
        </w:rPr>
        <w:t xml:space="preserve">ренных законом компетенций, не уполномочен </w:t>
      </w:r>
      <w:r w:rsidRPr="00C20E88">
        <w:rPr>
          <w:rStyle w:val="23"/>
          <w:sz w:val="28"/>
          <w:szCs w:val="28"/>
        </w:rPr>
        <w:t xml:space="preserve">вести </w:t>
      </w:r>
      <w:r w:rsidRPr="00C20E88">
        <w:rPr>
          <w:rStyle w:val="24"/>
          <w:sz w:val="28"/>
          <w:szCs w:val="28"/>
        </w:rPr>
        <w:t>расследование наруш</w:t>
      </w:r>
      <w:r w:rsidRPr="00C20E88">
        <w:rPr>
          <w:rStyle w:val="24"/>
          <w:sz w:val="28"/>
          <w:szCs w:val="28"/>
        </w:rPr>
        <w:t>е</w:t>
      </w:r>
      <w:r w:rsidRPr="00C20E88">
        <w:rPr>
          <w:rStyle w:val="24"/>
          <w:sz w:val="28"/>
          <w:szCs w:val="28"/>
        </w:rPr>
        <w:t>ни</w:t>
      </w:r>
      <w:r>
        <w:rPr>
          <w:rStyle w:val="24"/>
          <w:sz w:val="28"/>
          <w:szCs w:val="28"/>
        </w:rPr>
        <w:t>й</w:t>
      </w:r>
      <w:r w:rsidRPr="00C20E88">
        <w:rPr>
          <w:rStyle w:val="24"/>
          <w:sz w:val="28"/>
          <w:szCs w:val="28"/>
        </w:rPr>
        <w:t xml:space="preserve"> правил </w:t>
      </w:r>
      <w:r w:rsidRPr="00C20E88">
        <w:rPr>
          <w:rStyle w:val="23"/>
          <w:sz w:val="28"/>
          <w:szCs w:val="28"/>
        </w:rPr>
        <w:t xml:space="preserve">финансирования </w:t>
      </w:r>
      <w:r w:rsidRPr="00C20E88">
        <w:rPr>
          <w:rStyle w:val="24"/>
          <w:sz w:val="28"/>
          <w:szCs w:val="28"/>
        </w:rPr>
        <w:t xml:space="preserve">политических партий и избирательных </w:t>
      </w:r>
      <w:r w:rsidRPr="00C20E88">
        <w:rPr>
          <w:rStyle w:val="23"/>
          <w:sz w:val="28"/>
          <w:szCs w:val="28"/>
        </w:rPr>
        <w:t xml:space="preserve">кампаний </w:t>
      </w:r>
      <w:r w:rsidRPr="00C20E88">
        <w:rPr>
          <w:rStyle w:val="24"/>
          <w:sz w:val="28"/>
          <w:szCs w:val="28"/>
        </w:rPr>
        <w:t>и ограничивается приемом отчетов от конкурентов на выборах и их публик</w:t>
      </w:r>
      <w:r w:rsidRPr="00C20E88">
        <w:rPr>
          <w:rStyle w:val="24"/>
          <w:sz w:val="28"/>
          <w:szCs w:val="28"/>
        </w:rPr>
        <w:t>а</w:t>
      </w:r>
      <w:r w:rsidRPr="00C20E88">
        <w:rPr>
          <w:rStyle w:val="24"/>
          <w:sz w:val="28"/>
          <w:szCs w:val="28"/>
        </w:rPr>
        <w:t xml:space="preserve">цией на своей веб-странице. ЦИК не проверяет отчеты, фактических доноров, и не </w:t>
      </w:r>
      <w:r>
        <w:rPr>
          <w:rStyle w:val="24"/>
          <w:sz w:val="28"/>
          <w:szCs w:val="28"/>
        </w:rPr>
        <w:t>имеет</w:t>
      </w:r>
      <w:r w:rsidRPr="00C20E88">
        <w:rPr>
          <w:rStyle w:val="24"/>
          <w:sz w:val="28"/>
          <w:szCs w:val="28"/>
        </w:rPr>
        <w:t xml:space="preserve"> возможност</w:t>
      </w:r>
      <w:r>
        <w:rPr>
          <w:rStyle w:val="24"/>
          <w:sz w:val="28"/>
          <w:szCs w:val="28"/>
        </w:rPr>
        <w:t>и</w:t>
      </w:r>
      <w:r w:rsidRPr="00C20E88">
        <w:rPr>
          <w:rStyle w:val="24"/>
          <w:sz w:val="28"/>
          <w:szCs w:val="28"/>
        </w:rPr>
        <w:t xml:space="preserve"> выявлять потенциально незаконное и/или сомнительное ф</w:t>
      </w:r>
      <w:r w:rsidRPr="00C20E88">
        <w:rPr>
          <w:rStyle w:val="24"/>
          <w:sz w:val="28"/>
          <w:szCs w:val="28"/>
        </w:rPr>
        <w:t>и</w:t>
      </w:r>
      <w:r w:rsidRPr="00C20E88">
        <w:rPr>
          <w:rStyle w:val="24"/>
          <w:sz w:val="28"/>
          <w:szCs w:val="28"/>
        </w:rPr>
        <w:t xml:space="preserve">нансирование. </w:t>
      </w:r>
    </w:p>
    <w:p w:rsidR="0019475D" w:rsidRPr="004B29DF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Специфические задачи 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ц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 xml:space="preserve">начительно уменьшить незаконные финансовые потоки (16.4)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начительно сократить масштабы коррупции и взяточничества во всех их фо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мах (16.5)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беспечить доступ общественности к информации и защитить осно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>ные свободы (16.10).</w:t>
      </w:r>
    </w:p>
    <w:p w:rsidR="0019475D" w:rsidRPr="004B29DF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IV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Рост политической неподкупности и </w:t>
      </w:r>
      <w:r>
        <w:rPr>
          <w:rFonts w:ascii="Times New Roman" w:hAnsi="Times New Roman"/>
          <w:sz w:val="28"/>
          <w:szCs w:val="28"/>
        </w:rPr>
        <w:t>усиление</w:t>
      </w:r>
      <w:r w:rsidRPr="00C20E88">
        <w:rPr>
          <w:rFonts w:ascii="Times New Roman" w:hAnsi="Times New Roman"/>
          <w:sz w:val="28"/>
          <w:szCs w:val="28"/>
        </w:rPr>
        <w:t xml:space="preserve"> контроля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 политических партий и избирательных камп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ний. </w:t>
      </w: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Показатели воздействия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 xml:space="preserve">оверие к Центральной избирательной комиссии повысилось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политическим партиям повысилось.</w:t>
      </w: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49"/>
        <w:gridCol w:w="3119"/>
      </w:tblGrid>
      <w:tr w:rsidR="0019475D" w:rsidRPr="00EB253F" w:rsidTr="00630767">
        <w:trPr>
          <w:trHeight w:val="275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 xml:space="preserve"> IV</w:t>
            </w:r>
          </w:p>
        </w:tc>
        <w:tc>
          <w:tcPr>
            <w:tcW w:w="304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Ожидаемые результ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ты</w:t>
            </w:r>
          </w:p>
        </w:tc>
        <w:tc>
          <w:tcPr>
            <w:tcW w:w="311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Показатели результата</w:t>
            </w:r>
          </w:p>
        </w:tc>
      </w:tr>
      <w:tr w:rsidR="0019475D" w:rsidRPr="00EB253F" w:rsidTr="00630767">
        <w:trPr>
          <w:trHeight w:val="1454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IV.1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Прозрачность финанс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рования политических партий и избирательных кампаний</w:t>
            </w:r>
          </w:p>
        </w:tc>
        <w:tc>
          <w:tcPr>
            <w:tcW w:w="304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Общество информир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вано относительно источников </w:t>
            </w:r>
            <w:r w:rsidRPr="00EB253F">
              <w:rPr>
                <w:rStyle w:val="24"/>
                <w:sz w:val="24"/>
                <w:szCs w:val="24"/>
              </w:rPr>
              <w:t>финансир</w:t>
            </w:r>
            <w:r w:rsidRPr="00EB253F">
              <w:rPr>
                <w:rStyle w:val="24"/>
                <w:sz w:val="24"/>
                <w:szCs w:val="24"/>
              </w:rPr>
              <w:t>о</w:t>
            </w:r>
            <w:r w:rsidRPr="00EB253F">
              <w:rPr>
                <w:rStyle w:val="24"/>
                <w:sz w:val="24"/>
                <w:szCs w:val="24"/>
              </w:rPr>
              <w:t xml:space="preserve">вания </w:t>
            </w:r>
            <w:r w:rsidRPr="00EB253F">
              <w:rPr>
                <w:rStyle w:val="23"/>
                <w:sz w:val="24"/>
                <w:szCs w:val="24"/>
              </w:rPr>
              <w:t>политических партий и избирател</w:t>
            </w:r>
            <w:r w:rsidRPr="00EB253F">
              <w:rPr>
                <w:rStyle w:val="23"/>
                <w:sz w:val="24"/>
                <w:szCs w:val="24"/>
              </w:rPr>
              <w:t>ь</w:t>
            </w:r>
            <w:r w:rsidRPr="00EB253F">
              <w:rPr>
                <w:rStyle w:val="23"/>
                <w:sz w:val="24"/>
                <w:szCs w:val="24"/>
              </w:rPr>
              <w:t xml:space="preserve">ных </w:t>
            </w:r>
            <w:r w:rsidRPr="00EB253F">
              <w:rPr>
                <w:rStyle w:val="23"/>
                <w:sz w:val="24"/>
                <w:szCs w:val="24"/>
              </w:rPr>
              <w:lastRenderedPageBreak/>
              <w:t>кампаний</w:t>
            </w:r>
          </w:p>
        </w:tc>
        <w:tc>
          <w:tcPr>
            <w:tcW w:w="3119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Возможность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убличн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го мониторинга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Доступные отчеты 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литических партий по финансированию изб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рательных </w:t>
            </w:r>
            <w:r w:rsidRPr="00EB253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кампаний </w:t>
            </w:r>
          </w:p>
        </w:tc>
      </w:tr>
      <w:tr w:rsidR="0019475D" w:rsidRPr="00EB253F" w:rsidTr="00630767">
        <w:trPr>
          <w:trHeight w:val="416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0"/>
                <w:tab w:val="left" w:pos="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IV.2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Эффективный 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троль 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литических партий и избирательных ка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паний </w:t>
            </w:r>
          </w:p>
        </w:tc>
        <w:tc>
          <w:tcPr>
            <w:tcW w:w="3049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Обеспечение дост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па к правлению доброс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вестным партиям и 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подкупным политикам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Положительные подвижки, констатиру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мые мониторингом, проводимым г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ражда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ск</w:t>
            </w:r>
            <w:r>
              <w:rPr>
                <w:rFonts w:ascii="Times New Roman" w:hAnsi="Times New Roman"/>
                <w:sz w:val="24"/>
                <w:szCs w:val="28"/>
              </w:rPr>
              <w:t>им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8"/>
              </w:rPr>
              <w:t>ом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 междун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родны</w:t>
            </w:r>
            <w:r>
              <w:rPr>
                <w:rFonts w:ascii="Times New Roman" w:hAnsi="Times New Roman"/>
                <w:sz w:val="24"/>
                <w:szCs w:val="28"/>
              </w:rPr>
              <w:t>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мисси</w:t>
            </w:r>
            <w:r>
              <w:rPr>
                <w:rFonts w:ascii="Times New Roman" w:hAnsi="Times New Roman"/>
                <w:sz w:val="24"/>
                <w:szCs w:val="28"/>
              </w:rPr>
              <w:t>ями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по наблюдению за 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борами 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Расследованные нар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шения правил финанс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рования политических партий и избирательных кампаний, а также подкуп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избират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лей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Примененные </w:t>
            </w:r>
            <w:r>
              <w:rPr>
                <w:rFonts w:ascii="Times New Roman" w:hAnsi="Times New Roman"/>
                <w:sz w:val="24"/>
                <w:szCs w:val="28"/>
              </w:rPr>
              <w:t>админ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стративные,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правон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рушительные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уголо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ные наказания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19475D" w:rsidRDefault="0019475D" w:rsidP="0019475D">
      <w:pPr>
        <w:pStyle w:val="Heading2"/>
        <w:spacing w:before="0" w:after="0" w:line="240" w:lineRule="auto"/>
        <w:rPr>
          <w:rFonts w:ascii="Times New Roman" w:hAnsi="Times New Roman"/>
          <w:iCs w:val="0"/>
          <w:color w:val="002060"/>
        </w:rPr>
      </w:pPr>
    </w:p>
    <w:p w:rsidR="0019475D" w:rsidRPr="00C359B2" w:rsidRDefault="0019475D" w:rsidP="0019475D">
      <w:pPr>
        <w:pStyle w:val="Heading2"/>
        <w:spacing w:before="0" w:after="0" w:line="240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iCs w:val="0"/>
          <w:color w:val="002060"/>
        </w:rPr>
        <w:tab/>
      </w:r>
      <w:r w:rsidRPr="00C359B2">
        <w:rPr>
          <w:rFonts w:ascii="Times New Roman" w:hAnsi="Times New Roman"/>
          <w:iCs w:val="0"/>
          <w:color w:val="002060"/>
        </w:rPr>
        <w:t>Опор</w:t>
      </w:r>
      <w:r>
        <w:rPr>
          <w:rFonts w:ascii="Times New Roman" w:hAnsi="Times New Roman"/>
          <w:iCs w:val="0"/>
          <w:color w:val="002060"/>
        </w:rPr>
        <w:t>а</w:t>
      </w:r>
      <w:r w:rsidRPr="00C359B2">
        <w:rPr>
          <w:rFonts w:ascii="Times New Roman" w:hAnsi="Times New Roman"/>
          <w:iCs w:val="0"/>
          <w:color w:val="002060"/>
        </w:rPr>
        <w:t xml:space="preserve"> V:</w:t>
      </w:r>
      <w:r w:rsidRPr="00C359B2">
        <w:rPr>
          <w:rFonts w:ascii="Times New Roman" w:hAnsi="Times New Roman"/>
          <w:b w:val="0"/>
          <w:bCs w:val="0"/>
          <w:iCs w:val="0"/>
          <w:color w:val="002060"/>
        </w:rPr>
        <w:t xml:space="preserve"> </w:t>
      </w:r>
      <w:r w:rsidRPr="00C359B2">
        <w:rPr>
          <w:rFonts w:ascii="Times New Roman" w:hAnsi="Times New Roman"/>
          <w:iCs w:val="0"/>
          <w:color w:val="002060"/>
        </w:rPr>
        <w:t>Счетная палата</w:t>
      </w:r>
      <w:r w:rsidRPr="00C359B2">
        <w:rPr>
          <w:rFonts w:ascii="Times New Roman" w:hAnsi="Times New Roman"/>
          <w:b w:val="0"/>
          <w:bCs w:val="0"/>
          <w:iCs w:val="0"/>
          <w:color w:val="002060"/>
        </w:rPr>
        <w:t xml:space="preserve"> </w:t>
      </w:r>
    </w:p>
    <w:p w:rsidR="0019475D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Описание проблемы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 xml:space="preserve">ожидаемых </w:t>
      </w:r>
      <w:r w:rsidRPr="00C20E88">
        <w:rPr>
          <w:rFonts w:ascii="Times New Roman" w:hAnsi="Times New Roman"/>
          <w:sz w:val="28"/>
          <w:szCs w:val="28"/>
        </w:rPr>
        <w:t>результатов НАС 2011–201</w:t>
      </w:r>
      <w:r>
        <w:rPr>
          <w:rFonts w:ascii="Times New Roman" w:hAnsi="Times New Roman"/>
          <w:sz w:val="28"/>
          <w:szCs w:val="28"/>
        </w:rPr>
        <w:t>6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3"/>
      </w:r>
      <w:r w:rsidRPr="00C20E88">
        <w:rPr>
          <w:rFonts w:ascii="Times New Roman" w:hAnsi="Times New Roman"/>
          <w:sz w:val="28"/>
          <w:szCs w:val="28"/>
        </w:rPr>
        <w:t xml:space="preserve"> следует назвать упрочение возможностей Счетной палаты и усиление вли</w:t>
      </w:r>
      <w:r w:rsidRPr="00C20E88"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ния аудиторской деятельности, что </w:t>
      </w:r>
      <w:r>
        <w:rPr>
          <w:rFonts w:ascii="Times New Roman" w:hAnsi="Times New Roman"/>
          <w:sz w:val="28"/>
          <w:szCs w:val="28"/>
        </w:rPr>
        <w:t xml:space="preserve">находит свое </w:t>
      </w:r>
      <w:r w:rsidRPr="00C20E88">
        <w:rPr>
          <w:rFonts w:ascii="Times New Roman" w:hAnsi="Times New Roman"/>
          <w:sz w:val="28"/>
          <w:szCs w:val="28"/>
        </w:rPr>
        <w:t>подтвержд</w:t>
      </w:r>
      <w:r>
        <w:rPr>
          <w:rFonts w:ascii="Times New Roman" w:hAnsi="Times New Roman"/>
          <w:sz w:val="28"/>
          <w:szCs w:val="28"/>
        </w:rPr>
        <w:t>ение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привлеченных к ответственности за выявленные Палатой нарушения. Оценка </w:t>
      </w:r>
      <w:r>
        <w:rPr>
          <w:rFonts w:ascii="Times New Roman" w:hAnsi="Times New Roman"/>
          <w:sz w:val="28"/>
          <w:szCs w:val="28"/>
        </w:rPr>
        <w:t>реализации</w:t>
      </w:r>
      <w:r w:rsidRPr="00C20E88">
        <w:rPr>
          <w:rFonts w:ascii="Times New Roman" w:hAnsi="Times New Roman"/>
          <w:sz w:val="28"/>
          <w:szCs w:val="28"/>
        </w:rPr>
        <w:t xml:space="preserve"> НАС 2011–201</w:t>
      </w:r>
      <w:r>
        <w:rPr>
          <w:rFonts w:ascii="Times New Roman" w:hAnsi="Times New Roman"/>
          <w:sz w:val="28"/>
          <w:szCs w:val="28"/>
        </w:rPr>
        <w:t>6</w:t>
      </w:r>
      <w:r w:rsidRPr="00C20E88">
        <w:rPr>
          <w:rFonts w:ascii="Times New Roman" w:hAnsi="Times New Roman"/>
          <w:sz w:val="28"/>
          <w:szCs w:val="28"/>
        </w:rPr>
        <w:t xml:space="preserve"> установила, что в прокуратуре и Счетной палате не было отмечено существенного прогресса в этой части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4"/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из-за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процедуры:</w:t>
      </w:r>
      <w:r w:rsidRPr="00C20E88">
        <w:rPr>
          <w:rFonts w:ascii="Times New Roman" w:hAnsi="Times New Roman"/>
          <w:sz w:val="28"/>
          <w:szCs w:val="28"/>
        </w:rPr>
        <w:t xml:space="preserve"> аудиторы Счетной палаты выявл</w:t>
      </w:r>
      <w:r>
        <w:rPr>
          <w:rFonts w:ascii="Times New Roman" w:hAnsi="Times New Roman"/>
          <w:sz w:val="28"/>
          <w:szCs w:val="28"/>
        </w:rPr>
        <w:t>яют</w:t>
      </w:r>
      <w:r w:rsidRPr="00C20E88">
        <w:rPr>
          <w:rFonts w:ascii="Times New Roman" w:hAnsi="Times New Roman"/>
          <w:sz w:val="28"/>
          <w:szCs w:val="28"/>
        </w:rPr>
        <w:t xml:space="preserve"> предполагаемы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 преступления при проведении</w:t>
      </w:r>
      <w:r w:rsidRPr="00C20E88">
        <w:rPr>
          <w:rFonts w:ascii="Times New Roman" w:hAnsi="Times New Roman"/>
          <w:sz w:val="28"/>
          <w:szCs w:val="28"/>
        </w:rPr>
        <w:t xml:space="preserve"> собственно аудита, материалы которого отсылаются Генеральной прокуратуре только после составления аудиторского </w:t>
      </w:r>
      <w:r>
        <w:rPr>
          <w:rFonts w:ascii="Times New Roman" w:hAnsi="Times New Roman"/>
          <w:sz w:val="28"/>
          <w:szCs w:val="28"/>
        </w:rPr>
        <w:t>заключения</w:t>
      </w:r>
      <w:r w:rsidRPr="00C20E88">
        <w:rPr>
          <w:rFonts w:ascii="Times New Roman" w:hAnsi="Times New Roman"/>
          <w:sz w:val="28"/>
          <w:szCs w:val="28"/>
        </w:rPr>
        <w:t>, передаваемого компете</w:t>
      </w: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 w:rsidRPr="00C20E88">
        <w:rPr>
          <w:rFonts w:ascii="Times New Roman" w:hAnsi="Times New Roman"/>
          <w:sz w:val="28"/>
          <w:szCs w:val="28"/>
        </w:rPr>
        <w:t xml:space="preserve"> органам уголовного преследов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ния. Отсутствие сотрудничества между аудиторами и органами уголовного преследования на этапе, предшествующем утверждению аудиторских </w:t>
      </w:r>
      <w:r>
        <w:rPr>
          <w:rFonts w:ascii="Times New Roman" w:hAnsi="Times New Roman"/>
          <w:sz w:val="28"/>
          <w:szCs w:val="28"/>
        </w:rPr>
        <w:t>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чений</w:t>
      </w:r>
      <w:r w:rsidRPr="00C20E88">
        <w:rPr>
          <w:rFonts w:ascii="Times New Roman" w:hAnsi="Times New Roman"/>
          <w:sz w:val="28"/>
          <w:szCs w:val="28"/>
        </w:rPr>
        <w:t xml:space="preserve">, приводит к тому, </w:t>
      </w:r>
      <w:r>
        <w:rPr>
          <w:rFonts w:ascii="Times New Roman" w:hAnsi="Times New Roman"/>
          <w:sz w:val="28"/>
          <w:szCs w:val="28"/>
        </w:rPr>
        <w:t xml:space="preserve">что содержание соответствующих </w:t>
      </w:r>
      <w:proofErr w:type="gramStart"/>
      <w:r>
        <w:rPr>
          <w:rFonts w:ascii="Times New Roman" w:hAnsi="Times New Roman"/>
          <w:sz w:val="28"/>
          <w:szCs w:val="28"/>
        </w:rPr>
        <w:t>заключений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пре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 xml:space="preserve">де всего становится известно лицам, которые возможно </w:t>
      </w:r>
      <w:r w:rsidRPr="00C20E88">
        <w:rPr>
          <w:rFonts w:ascii="Times New Roman" w:hAnsi="Times New Roman"/>
          <w:sz w:val="28"/>
          <w:szCs w:val="28"/>
        </w:rPr>
        <w:lastRenderedPageBreak/>
        <w:t>виновны в соверш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нии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связанных со злоупотреблениями, с превышением сл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жебных полномочий, коррупцией и пр. в рамках публичных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</w:t>
      </w:r>
      <w:r w:rsidRPr="00C20E88">
        <w:rPr>
          <w:rFonts w:ascii="Times New Roman" w:hAnsi="Times New Roman"/>
          <w:sz w:val="28"/>
          <w:szCs w:val="28"/>
        </w:rPr>
        <w:t>. Это обстоятельство позволяет им скрыть следы преступлений. Чтобы решить да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ную проблему, в 2016 году Счетная палата утвердила Положение о процед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>рах, применяемых в случае идентификац</w:t>
      </w:r>
      <w:proofErr w:type="gramStart"/>
      <w:r w:rsidRPr="00C20E88">
        <w:rPr>
          <w:rFonts w:ascii="Times New Roman" w:hAnsi="Times New Roman"/>
          <w:sz w:val="28"/>
          <w:szCs w:val="28"/>
        </w:rPr>
        <w:t>ии ау</w:t>
      </w:r>
      <w:proofErr w:type="gramEnd"/>
      <w:r w:rsidRPr="00C20E88">
        <w:rPr>
          <w:rFonts w:ascii="Times New Roman" w:hAnsi="Times New Roman"/>
          <w:sz w:val="28"/>
          <w:szCs w:val="28"/>
        </w:rPr>
        <w:t>диторами риска мошеннич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ства/коррупции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5"/>
      </w:r>
      <w:r w:rsidRPr="00C20E88">
        <w:rPr>
          <w:rFonts w:ascii="Times New Roman" w:hAnsi="Times New Roman"/>
          <w:sz w:val="28"/>
          <w:szCs w:val="28"/>
        </w:rPr>
        <w:t>, однако, наработанная практика применения новых процедур пока о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сутствует.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Анализы и исследования</w:t>
      </w:r>
      <w:r w:rsidRPr="00C20E88">
        <w:rPr>
          <w:rFonts w:ascii="Times New Roman" w:hAnsi="Times New Roman"/>
          <w:sz w:val="28"/>
          <w:szCs w:val="28"/>
          <w:vertAlign w:val="superscript"/>
        </w:rPr>
        <w:footnoteReference w:id="36"/>
      </w:r>
      <w:r w:rsidRPr="00C20E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предметом которых является</w:t>
      </w:r>
      <w:r w:rsidRPr="00C20E88">
        <w:rPr>
          <w:rFonts w:ascii="Times New Roman" w:hAnsi="Times New Roman"/>
          <w:sz w:val="28"/>
          <w:szCs w:val="28"/>
        </w:rPr>
        <w:t xml:space="preserve"> деятельность Счетной палаты, также выявили проблемы, связанные с эффекти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>ностью ее решений, непоследовательным повышением ответственности по</w:t>
      </w:r>
      <w:r w:rsidRPr="00C20E88"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 xml:space="preserve">вергнутых аудиту учреждений. </w:t>
      </w:r>
      <w:proofErr w:type="gramStart"/>
      <w:r w:rsidRPr="00C20E88">
        <w:rPr>
          <w:rFonts w:ascii="Times New Roman" w:hAnsi="Times New Roman"/>
          <w:sz w:val="28"/>
          <w:szCs w:val="28"/>
        </w:rPr>
        <w:t>Другими отмеченными проблемами, подрывающими проверочную деятельность Палаты и ее влияние на систему финансового м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неджмента, явились: низкий уровень доверия подвергнутых аудиту </w:t>
      </w:r>
      <w:r>
        <w:rPr>
          <w:rFonts w:ascii="Times New Roman" w:hAnsi="Times New Roman"/>
          <w:sz w:val="28"/>
          <w:szCs w:val="28"/>
        </w:rPr>
        <w:t>субъектов</w:t>
      </w:r>
      <w:r w:rsidRPr="00C20E88">
        <w:rPr>
          <w:rFonts w:ascii="Times New Roman" w:hAnsi="Times New Roman"/>
          <w:sz w:val="28"/>
          <w:szCs w:val="28"/>
        </w:rPr>
        <w:t xml:space="preserve"> и общества к роли высше</w:t>
      </w:r>
      <w:r>
        <w:rPr>
          <w:rFonts w:ascii="Times New Roman" w:hAnsi="Times New Roman"/>
          <w:sz w:val="28"/>
          <w:szCs w:val="28"/>
        </w:rPr>
        <w:t>го</w:t>
      </w:r>
      <w:r w:rsidRPr="00C20E88">
        <w:rPr>
          <w:rFonts w:ascii="Times New Roman" w:hAnsi="Times New Roman"/>
          <w:sz w:val="28"/>
          <w:szCs w:val="28"/>
        </w:rPr>
        <w:t xml:space="preserve"> аудиторского органа по надзору и </w:t>
      </w:r>
      <w:r>
        <w:rPr>
          <w:rFonts w:ascii="Times New Roman" w:hAnsi="Times New Roman"/>
          <w:sz w:val="28"/>
          <w:szCs w:val="28"/>
        </w:rPr>
        <w:t>назначению фактических наказаний за</w:t>
      </w:r>
      <w:r w:rsidRPr="00C20E88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неэффективного и незаконного управления финансовыми ресурсами и общественным имуществом; отсутствие механи</w:t>
      </w:r>
      <w:r w:rsidRPr="00C20E88"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мов идентификации рисков мошенничества и коррупции на ранней стадии;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E88">
        <w:rPr>
          <w:rFonts w:ascii="Times New Roman" w:hAnsi="Times New Roman"/>
          <w:sz w:val="28"/>
          <w:szCs w:val="28"/>
        </w:rPr>
        <w:t>качество отчетов; не</w:t>
      </w:r>
      <w:r>
        <w:rPr>
          <w:rFonts w:ascii="Times New Roman" w:hAnsi="Times New Roman"/>
          <w:sz w:val="28"/>
          <w:szCs w:val="28"/>
        </w:rPr>
        <w:t>исполне</w:t>
      </w:r>
      <w:r w:rsidRPr="00C20E88">
        <w:rPr>
          <w:rFonts w:ascii="Times New Roman" w:hAnsi="Times New Roman"/>
          <w:sz w:val="28"/>
          <w:szCs w:val="28"/>
        </w:rPr>
        <w:t xml:space="preserve">ние или ненадлежащее </w:t>
      </w:r>
      <w:r>
        <w:rPr>
          <w:rFonts w:ascii="Times New Roman" w:hAnsi="Times New Roman"/>
          <w:sz w:val="28"/>
          <w:szCs w:val="28"/>
        </w:rPr>
        <w:t>исполнение</w:t>
      </w:r>
      <w:r w:rsidRPr="00C20E88">
        <w:rPr>
          <w:rFonts w:ascii="Times New Roman" w:hAnsi="Times New Roman"/>
          <w:sz w:val="28"/>
          <w:szCs w:val="28"/>
        </w:rPr>
        <w:t xml:space="preserve"> р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комендаций аудиторских </w:t>
      </w:r>
      <w:r>
        <w:rPr>
          <w:rFonts w:ascii="Times New Roman" w:hAnsi="Times New Roman"/>
          <w:sz w:val="28"/>
          <w:szCs w:val="28"/>
        </w:rPr>
        <w:t>заключений</w:t>
      </w:r>
      <w:r w:rsidRPr="00C20E8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20E88">
        <w:rPr>
          <w:rFonts w:ascii="Times New Roman" w:hAnsi="Times New Roman"/>
          <w:sz w:val="28"/>
          <w:szCs w:val="28"/>
        </w:rPr>
        <w:t>невозмещение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ущерба, установленного в </w:t>
      </w:r>
      <w:r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</w:t>
      </w:r>
      <w:r w:rsidRPr="00C20E88">
        <w:rPr>
          <w:rFonts w:ascii="Times New Roman" w:hAnsi="Times New Roman"/>
          <w:sz w:val="28"/>
          <w:szCs w:val="28"/>
        </w:rPr>
        <w:t xml:space="preserve"> Палаты; отсутствие </w:t>
      </w:r>
      <w:r>
        <w:rPr>
          <w:rFonts w:ascii="Times New Roman" w:hAnsi="Times New Roman"/>
          <w:sz w:val="28"/>
          <w:szCs w:val="28"/>
        </w:rPr>
        <w:t xml:space="preserve">регулирующих </w:t>
      </w:r>
      <w:r w:rsidRPr="00C20E88">
        <w:rPr>
          <w:rFonts w:ascii="Times New Roman" w:hAnsi="Times New Roman"/>
          <w:sz w:val="28"/>
          <w:szCs w:val="28"/>
        </w:rPr>
        <w:t>норм, упорядочива</w:t>
      </w:r>
      <w:r w:rsidRPr="00C20E88">
        <w:rPr>
          <w:rFonts w:ascii="Times New Roman" w:hAnsi="Times New Roman"/>
          <w:sz w:val="28"/>
          <w:szCs w:val="28"/>
        </w:rPr>
        <w:t>ю</w:t>
      </w:r>
      <w:r w:rsidRPr="00C20E88">
        <w:rPr>
          <w:rFonts w:ascii="Times New Roman" w:hAnsi="Times New Roman"/>
          <w:sz w:val="28"/>
          <w:szCs w:val="28"/>
        </w:rPr>
        <w:t xml:space="preserve">щих проведение аудита в ряде областей, оказывающих </w:t>
      </w:r>
      <w:r>
        <w:rPr>
          <w:rFonts w:ascii="Times New Roman" w:hAnsi="Times New Roman"/>
          <w:sz w:val="28"/>
          <w:szCs w:val="28"/>
        </w:rPr>
        <w:t>большое</w:t>
      </w:r>
      <w:r w:rsidRPr="00C20E88">
        <w:rPr>
          <w:rFonts w:ascii="Times New Roman" w:hAnsi="Times New Roman"/>
          <w:sz w:val="28"/>
          <w:szCs w:val="28"/>
        </w:rPr>
        <w:t xml:space="preserve"> влияние на общество; пр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зрачность деятельности учреждения по планированию аудиторских проверок, отчетность Счетной палаты и </w:t>
      </w:r>
      <w:proofErr w:type="spellStart"/>
      <w:r w:rsidRPr="00C20E88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аудита ее финансовых отчетов н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зависимыми аудиторскими учре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>дениями.</w:t>
      </w:r>
      <w:proofErr w:type="gramEnd"/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Координация внешней помощи на протяжении последних двух лет выявила ряд недостатков, большей частью являющихся следствием политич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ской нестабильности, </w:t>
      </w:r>
      <w:r>
        <w:rPr>
          <w:rFonts w:ascii="Times New Roman" w:hAnsi="Times New Roman"/>
          <w:sz w:val="28"/>
          <w:szCs w:val="28"/>
        </w:rPr>
        <w:t>но не без</w:t>
      </w:r>
      <w:r w:rsidRPr="00C20E88">
        <w:rPr>
          <w:rFonts w:ascii="Times New Roman" w:hAnsi="Times New Roman"/>
          <w:sz w:val="28"/>
          <w:szCs w:val="28"/>
        </w:rPr>
        <w:t xml:space="preserve"> вины органов, которым было поручено сект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ральное согласование данной помощи. В </w:t>
      </w:r>
      <w:r>
        <w:rPr>
          <w:rFonts w:ascii="Times New Roman" w:hAnsi="Times New Roman"/>
          <w:sz w:val="28"/>
          <w:szCs w:val="28"/>
        </w:rPr>
        <w:t>таких</w:t>
      </w:r>
      <w:r w:rsidRPr="00C20E88">
        <w:rPr>
          <w:rFonts w:ascii="Times New Roman" w:hAnsi="Times New Roman"/>
          <w:sz w:val="28"/>
          <w:szCs w:val="28"/>
        </w:rPr>
        <w:t xml:space="preserve"> условиях новым вызовом для Счетной палаты явился надзор за механизмом управления помощью из вне</w:t>
      </w:r>
      <w:r w:rsidRPr="00C20E88">
        <w:rPr>
          <w:rFonts w:ascii="Times New Roman" w:hAnsi="Times New Roman"/>
          <w:sz w:val="28"/>
          <w:szCs w:val="28"/>
        </w:rPr>
        <w:t>ш</w:t>
      </w:r>
      <w:r w:rsidRPr="00C20E88">
        <w:rPr>
          <w:rFonts w:ascii="Times New Roman" w:hAnsi="Times New Roman"/>
          <w:sz w:val="28"/>
          <w:szCs w:val="28"/>
        </w:rPr>
        <w:t>них источников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7"/>
      </w:r>
      <w:r w:rsidRPr="00C20E88">
        <w:rPr>
          <w:rFonts w:ascii="Times New Roman" w:hAnsi="Times New Roman"/>
          <w:sz w:val="28"/>
          <w:szCs w:val="28"/>
        </w:rPr>
        <w:t xml:space="preserve">. </w:t>
      </w:r>
    </w:p>
    <w:p w:rsidR="0019475D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Специфические задачи 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ц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pStyle w:val="ListParagraph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C20E88">
        <w:rPr>
          <w:rFonts w:ascii="Times New Roman" w:hAnsi="Times New Roman"/>
          <w:sz w:val="28"/>
          <w:szCs w:val="28"/>
        </w:rPr>
        <w:t>начительно уменьшить незаконные финансовые потоки [...], актив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зировать деятельность по </w:t>
      </w:r>
      <w:r>
        <w:rPr>
          <w:rFonts w:ascii="Times New Roman" w:hAnsi="Times New Roman"/>
          <w:sz w:val="28"/>
          <w:szCs w:val="28"/>
        </w:rPr>
        <w:t>возмещению</w:t>
      </w:r>
      <w:r w:rsidRPr="00C20E88">
        <w:rPr>
          <w:rFonts w:ascii="Times New Roman" w:hAnsi="Times New Roman"/>
          <w:sz w:val="28"/>
          <w:szCs w:val="28"/>
        </w:rPr>
        <w:t xml:space="preserve"> и возвращению похищенных активов (16.4)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начительно сократить масштабы коррупции и взяточничества во всех их фо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мах (16.5)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175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>ответственные</w:t>
      </w:r>
      <w:r w:rsidRPr="00C20E88">
        <w:rPr>
          <w:rFonts w:ascii="Times New Roman" w:hAnsi="Times New Roman"/>
          <w:sz w:val="28"/>
          <w:szCs w:val="28"/>
        </w:rPr>
        <w:t xml:space="preserve"> и прозрачные учреждения на всех уровнях (16.6).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V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крепл</w:t>
      </w:r>
      <w:r w:rsidRPr="00C20E88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>потенциала</w:t>
      </w:r>
      <w:r w:rsidRPr="00C20E88">
        <w:rPr>
          <w:rFonts w:ascii="Times New Roman" w:hAnsi="Times New Roman"/>
          <w:sz w:val="28"/>
          <w:szCs w:val="28"/>
        </w:rPr>
        <w:t xml:space="preserve"> Счетной палаты по предупр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ждению коррупции в области управления финансовыми ресурсами и использования общественного имущества, а также получения внешней финанс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вой помощи.</w:t>
      </w:r>
      <w:r w:rsidRPr="00C20E8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Показатели воздействия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Счетной палате возросло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езависимость аудита Счетной палаты обеспечена</w:t>
      </w:r>
      <w:r>
        <w:rPr>
          <w:rFonts w:ascii="Times New Roman" w:hAnsi="Times New Roman"/>
          <w:sz w:val="28"/>
          <w:szCs w:val="28"/>
        </w:rPr>
        <w:t>.</w:t>
      </w:r>
    </w:p>
    <w:p w:rsidR="0019475D" w:rsidRDefault="0019475D" w:rsidP="0019475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49"/>
        <w:gridCol w:w="3119"/>
      </w:tblGrid>
      <w:tr w:rsidR="0019475D" w:rsidRPr="00EB253F" w:rsidTr="00630767">
        <w:trPr>
          <w:trHeight w:val="275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Приоритеты опоры V</w:t>
            </w:r>
          </w:p>
        </w:tc>
        <w:tc>
          <w:tcPr>
            <w:tcW w:w="304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8"/>
              </w:rPr>
              <w:t>Показатели результата</w:t>
            </w:r>
          </w:p>
        </w:tc>
      </w:tr>
      <w:tr w:rsidR="0019475D" w:rsidRPr="00EB253F" w:rsidTr="00630767">
        <w:trPr>
          <w:trHeight w:val="828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Прозрачность деятельн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сти Счетной палаты </w:t>
            </w:r>
          </w:p>
        </w:tc>
        <w:tc>
          <w:tcPr>
            <w:tcW w:w="304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де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тельности Счетной 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латы </w:t>
            </w:r>
          </w:p>
        </w:tc>
        <w:tc>
          <w:tcPr>
            <w:tcW w:w="3119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Улучшен м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ониторинг деятельности Счетной палаты со стороны гражданского общества</w:t>
            </w:r>
          </w:p>
        </w:tc>
      </w:tr>
      <w:tr w:rsidR="0019475D" w:rsidRPr="00EB253F" w:rsidTr="00630767">
        <w:trPr>
          <w:trHeight w:val="1346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0"/>
                <w:tab w:val="left" w:pos="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D469F">
              <w:rPr>
                <w:rFonts w:ascii="Times New Roman" w:hAnsi="Times New Roman"/>
                <w:bCs/>
                <w:sz w:val="24"/>
                <w:szCs w:val="24"/>
              </w:rPr>
              <w:t>Результативность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ауд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торской деятельности </w:t>
            </w:r>
          </w:p>
        </w:tc>
        <w:tc>
          <w:tcPr>
            <w:tcW w:w="3049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8"/>
              </w:rPr>
              <w:t>целостн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сти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публичных фондов и </w:t>
            </w:r>
            <w:r>
              <w:rPr>
                <w:rFonts w:ascii="Times New Roman" w:hAnsi="Times New Roman"/>
                <w:sz w:val="24"/>
                <w:szCs w:val="28"/>
              </w:rPr>
              <w:t>фондов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 внешней п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мощи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8"/>
              </w:rPr>
              <w:t>Примененные сан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>к</w:t>
            </w:r>
            <w:r w:rsidRPr="00EB253F">
              <w:rPr>
                <w:rFonts w:ascii="Times New Roman" w:hAnsi="Times New Roman"/>
                <w:sz w:val="24"/>
                <w:szCs w:val="28"/>
              </w:rPr>
              <w:t xml:space="preserve">ции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за акты коррупции, в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явленные с помощью информации, переда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ной Счетной палатой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Возмещен ущерб, пр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чиненный государству </w:t>
            </w:r>
          </w:p>
        </w:tc>
      </w:tr>
    </w:tbl>
    <w:p w:rsidR="0019475D" w:rsidRPr="00EB253F" w:rsidRDefault="0019475D" w:rsidP="0019475D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2060"/>
          <w:kern w:val="32"/>
          <w:sz w:val="24"/>
          <w:szCs w:val="24"/>
        </w:rPr>
      </w:pPr>
      <w:bookmarkStart w:id="30" w:name="_Toc431221232"/>
      <w:bookmarkStart w:id="31" w:name="_Toc436753757"/>
      <w:bookmarkStart w:id="32" w:name="_Toc436753722"/>
    </w:p>
    <w:p w:rsidR="0019475D" w:rsidRPr="00390A1B" w:rsidRDefault="0019475D" w:rsidP="0019475D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bCs/>
          <w:i/>
          <w:color w:val="002060"/>
          <w:kern w:val="32"/>
          <w:sz w:val="28"/>
          <w:szCs w:val="28"/>
        </w:rPr>
      </w:pPr>
      <w:bookmarkStart w:id="33" w:name="_Toc468129271"/>
      <w:r w:rsidRPr="00390A1B">
        <w:rPr>
          <w:rFonts w:ascii="Times New Roman" w:hAnsi="Times New Roman"/>
          <w:b/>
          <w:bCs/>
          <w:i/>
          <w:color w:val="002060"/>
          <w:kern w:val="32"/>
          <w:sz w:val="28"/>
          <w:szCs w:val="28"/>
        </w:rPr>
        <w:t>Опор</w:t>
      </w:r>
      <w:r>
        <w:rPr>
          <w:rFonts w:ascii="Times New Roman" w:hAnsi="Times New Roman"/>
          <w:b/>
          <w:bCs/>
          <w:i/>
          <w:color w:val="002060"/>
          <w:kern w:val="32"/>
          <w:sz w:val="28"/>
          <w:szCs w:val="28"/>
        </w:rPr>
        <w:t>а</w:t>
      </w:r>
      <w:r w:rsidRPr="00390A1B">
        <w:rPr>
          <w:rFonts w:ascii="Times New Roman" w:hAnsi="Times New Roman"/>
          <w:b/>
          <w:bCs/>
          <w:i/>
          <w:color w:val="002060"/>
          <w:kern w:val="32"/>
          <w:sz w:val="28"/>
          <w:szCs w:val="28"/>
        </w:rPr>
        <w:t xml:space="preserve"> VI: Народный адвокат</w:t>
      </w:r>
      <w:bookmarkEnd w:id="30"/>
      <w:r w:rsidRPr="00390A1B">
        <w:rPr>
          <w:rFonts w:ascii="Times New Roman" w:hAnsi="Times New Roman"/>
          <w:b/>
          <w:bCs/>
          <w:i/>
          <w:color w:val="002060"/>
          <w:kern w:val="32"/>
          <w:sz w:val="28"/>
          <w:szCs w:val="28"/>
        </w:rPr>
        <w:t xml:space="preserve"> (омбудсмен)</w:t>
      </w:r>
      <w:bookmarkEnd w:id="31"/>
      <w:bookmarkEnd w:id="32"/>
      <w:bookmarkEnd w:id="33"/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Описание проблемы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Согласно Отчету Госдепартамента США о полож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нии дел в области прав человека в Республике Молдова в 2015 году: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9DF">
        <w:rPr>
          <w:rStyle w:val="Emphasis"/>
          <w:rFonts w:ascii="Times New Roman" w:hAnsi="Times New Roman"/>
          <w:i w:val="0"/>
          <w:iCs/>
          <w:sz w:val="28"/>
          <w:szCs w:val="28"/>
        </w:rPr>
        <w:t>«</w:t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Распр</w:t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о</w:t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странение коррупции остается наиважнейшей проблемой на пути реал</w:t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и</w:t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зации прав человека</w:t>
      </w:r>
      <w:r w:rsidRPr="004B29DF">
        <w:rPr>
          <w:rStyle w:val="Emphasis"/>
          <w:rFonts w:ascii="Times New Roman" w:hAnsi="Times New Roman"/>
          <w:i w:val="0"/>
          <w:iCs/>
          <w:sz w:val="28"/>
          <w:szCs w:val="28"/>
        </w:rPr>
        <w:t>»</w:t>
      </w:r>
      <w:r w:rsidRPr="00C20E88">
        <w:rPr>
          <w:rStyle w:val="FootnoteReference"/>
          <w:rFonts w:ascii="Times New Roman" w:hAnsi="Times New Roman"/>
          <w:i/>
          <w:iCs/>
          <w:sz w:val="28"/>
          <w:szCs w:val="28"/>
        </w:rPr>
        <w:footnoteReference w:id="38"/>
      </w:r>
      <w:r w:rsidRPr="00C20E88">
        <w:rPr>
          <w:rStyle w:val="Emphasis"/>
          <w:rFonts w:ascii="Times New Roman" w:hAnsi="Times New Roman"/>
          <w:iCs/>
          <w:sz w:val="28"/>
          <w:szCs w:val="28"/>
        </w:rPr>
        <w:t>.</w:t>
      </w:r>
      <w:r w:rsidRPr="00C20E88">
        <w:rPr>
          <w:rFonts w:ascii="Times New Roman" w:hAnsi="Times New Roman"/>
          <w:sz w:val="28"/>
          <w:szCs w:val="28"/>
        </w:rPr>
        <w:t xml:space="preserve"> Любой акт коррупции, независимо от его формы, – подкуп, халатность, превышение или злоупотребление – влечет за собой и нарушение прав человека. Народн</w:t>
      </w:r>
      <w:r>
        <w:rPr>
          <w:rFonts w:ascii="Times New Roman" w:hAnsi="Times New Roman"/>
          <w:sz w:val="28"/>
          <w:szCs w:val="28"/>
        </w:rPr>
        <w:t>ому</w:t>
      </w:r>
      <w:r w:rsidRPr="00C20E88">
        <w:rPr>
          <w:rFonts w:ascii="Times New Roman" w:hAnsi="Times New Roman"/>
          <w:sz w:val="28"/>
          <w:szCs w:val="28"/>
        </w:rPr>
        <w:t xml:space="preserve"> адвокат</w:t>
      </w:r>
      <w:r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принадлежит</w:t>
      </w:r>
      <w:r w:rsidRPr="00C20E88">
        <w:rPr>
          <w:rFonts w:ascii="Times New Roman" w:hAnsi="Times New Roman"/>
          <w:sz w:val="28"/>
          <w:szCs w:val="28"/>
        </w:rPr>
        <w:t xml:space="preserve"> ключев</w:t>
      </w:r>
      <w:r>
        <w:rPr>
          <w:rFonts w:ascii="Times New Roman" w:hAnsi="Times New Roman"/>
          <w:sz w:val="28"/>
          <w:szCs w:val="28"/>
        </w:rPr>
        <w:t>ая</w:t>
      </w:r>
      <w:r w:rsidRPr="00C20E88">
        <w:rPr>
          <w:rFonts w:ascii="Times New Roman" w:hAnsi="Times New Roman"/>
          <w:sz w:val="28"/>
          <w:szCs w:val="28"/>
        </w:rPr>
        <w:t xml:space="preserve"> роль в обеспеч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нии соблюдения прав человека. Его миссия состоит в предотвращении нар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>шения таких прав посредством мониторинга и сообщения о порядке соблюд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ния прав и основных свобод человека на </w:t>
      </w:r>
      <w:r w:rsidRPr="00C20E88">
        <w:rPr>
          <w:rFonts w:ascii="Times New Roman" w:hAnsi="Times New Roman"/>
          <w:sz w:val="28"/>
          <w:szCs w:val="28"/>
        </w:rPr>
        <w:lastRenderedPageBreak/>
        <w:t>национальном уро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>не, посредством усовершенствования законодательства в области прав и свобод человека,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средством международного сотрудничества, а также продвижения прав и св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бод человека и механизмов их защиты.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Чаще всего на права граждан отрицательно влияют: ненадлежащее управление и бюрократия в публичных учреждениях, административные нарушения, непорядочность, дискриминация, притеснения со стороны выш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стоящих лиц, злоупотребление властью, отсутствие </w:t>
      </w:r>
      <w:r>
        <w:rPr>
          <w:rFonts w:ascii="Times New Roman" w:hAnsi="Times New Roman"/>
          <w:sz w:val="28"/>
          <w:szCs w:val="28"/>
        </w:rPr>
        <w:t>ответа</w:t>
      </w:r>
      <w:r w:rsidRPr="00C20E88">
        <w:rPr>
          <w:rFonts w:ascii="Times New Roman" w:hAnsi="Times New Roman"/>
          <w:sz w:val="28"/>
          <w:szCs w:val="28"/>
        </w:rPr>
        <w:t xml:space="preserve"> и реакции со стороны властей, их необоснованный отказ в предоставлении информ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ции или ее запоздалое предоставление. Долг </w:t>
      </w:r>
      <w:r>
        <w:rPr>
          <w:rFonts w:ascii="Times New Roman" w:hAnsi="Times New Roman"/>
          <w:sz w:val="28"/>
          <w:szCs w:val="28"/>
        </w:rPr>
        <w:t>народного адвоката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удостовериться</w:t>
      </w:r>
      <w:r w:rsidRPr="00C20E88">
        <w:rPr>
          <w:rFonts w:ascii="Times New Roman" w:hAnsi="Times New Roman"/>
          <w:sz w:val="28"/>
          <w:szCs w:val="28"/>
        </w:rPr>
        <w:t>, что официальные лица и органы публичной власти зна</w:t>
      </w:r>
      <w:r>
        <w:rPr>
          <w:rFonts w:ascii="Times New Roman" w:hAnsi="Times New Roman"/>
          <w:sz w:val="28"/>
          <w:szCs w:val="28"/>
        </w:rPr>
        <w:t>ют</w:t>
      </w:r>
      <w:r w:rsidRPr="00C20E88">
        <w:rPr>
          <w:rFonts w:ascii="Times New Roman" w:hAnsi="Times New Roman"/>
          <w:sz w:val="28"/>
          <w:szCs w:val="28"/>
        </w:rPr>
        <w:t xml:space="preserve"> и применя</w:t>
      </w:r>
      <w:r>
        <w:rPr>
          <w:rFonts w:ascii="Times New Roman" w:hAnsi="Times New Roman"/>
          <w:sz w:val="28"/>
          <w:szCs w:val="28"/>
        </w:rPr>
        <w:t>ют</w:t>
      </w:r>
      <w:r w:rsidRPr="00C20E88">
        <w:rPr>
          <w:rFonts w:ascii="Times New Roman" w:hAnsi="Times New Roman"/>
          <w:sz w:val="28"/>
          <w:szCs w:val="28"/>
        </w:rPr>
        <w:t xml:space="preserve">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ложения законодательства в области прав человека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 xml:space="preserve"> государственные служащие в</w:t>
      </w:r>
      <w:r w:rsidRPr="00C20E88">
        <w:rPr>
          <w:rFonts w:ascii="Times New Roman" w:hAnsi="Times New Roman"/>
          <w:sz w:val="28"/>
          <w:szCs w:val="28"/>
        </w:rPr>
        <w:t>ы</w:t>
      </w:r>
      <w:r w:rsidRPr="00C20E88">
        <w:rPr>
          <w:rFonts w:ascii="Times New Roman" w:hAnsi="Times New Roman"/>
          <w:sz w:val="28"/>
          <w:szCs w:val="28"/>
        </w:rPr>
        <w:t>полня</w:t>
      </w:r>
      <w:r>
        <w:rPr>
          <w:rFonts w:ascii="Times New Roman" w:hAnsi="Times New Roman"/>
          <w:sz w:val="28"/>
          <w:szCs w:val="28"/>
        </w:rPr>
        <w:t>ют</w:t>
      </w:r>
      <w:r w:rsidRPr="00C20E88">
        <w:rPr>
          <w:rFonts w:ascii="Times New Roman" w:hAnsi="Times New Roman"/>
          <w:sz w:val="28"/>
          <w:szCs w:val="28"/>
        </w:rPr>
        <w:t xml:space="preserve"> свои обязанности в соответствии с принципами эффективного упра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ления. </w:t>
      </w:r>
      <w:r>
        <w:rPr>
          <w:rFonts w:ascii="Times New Roman" w:hAnsi="Times New Roman"/>
          <w:sz w:val="28"/>
          <w:szCs w:val="28"/>
        </w:rPr>
        <w:t>Народный адвокат</w:t>
      </w:r>
      <w:r w:rsidRPr="00C20E88">
        <w:rPr>
          <w:rFonts w:ascii="Times New Roman" w:hAnsi="Times New Roman"/>
          <w:sz w:val="28"/>
          <w:szCs w:val="28"/>
        </w:rPr>
        <w:t xml:space="preserve"> анализирует результаты деятельности официальных лиц и органов власти на основании жалоб граждан, напра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 xml:space="preserve">ляет в Парламент </w:t>
      </w:r>
      <w:r>
        <w:rPr>
          <w:rFonts w:ascii="Times New Roman" w:hAnsi="Times New Roman"/>
          <w:sz w:val="28"/>
          <w:szCs w:val="28"/>
        </w:rPr>
        <w:t>петиции</w:t>
      </w:r>
      <w:r w:rsidRPr="00C20E88">
        <w:rPr>
          <w:rFonts w:ascii="Times New Roman" w:hAnsi="Times New Roman"/>
          <w:sz w:val="28"/>
          <w:szCs w:val="28"/>
        </w:rPr>
        <w:t xml:space="preserve"> для уведомления о нарушении прав граждан </w:t>
      </w:r>
      <w:r>
        <w:rPr>
          <w:rFonts w:ascii="Times New Roman" w:hAnsi="Times New Roman"/>
          <w:sz w:val="28"/>
          <w:szCs w:val="28"/>
        </w:rPr>
        <w:t xml:space="preserve">определенным </w:t>
      </w:r>
      <w:r w:rsidRPr="00C20E88">
        <w:rPr>
          <w:rFonts w:ascii="Times New Roman" w:hAnsi="Times New Roman"/>
          <w:sz w:val="28"/>
          <w:szCs w:val="28"/>
        </w:rPr>
        <w:t>органом власти или публичным учрежден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ем.</w:t>
      </w:r>
    </w:p>
    <w:p w:rsidR="0019475D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озабоченность</w:t>
      </w:r>
      <w:r w:rsidRPr="00C20E88">
        <w:rPr>
          <w:rFonts w:ascii="Times New Roman" w:hAnsi="Times New Roman"/>
          <w:sz w:val="28"/>
          <w:szCs w:val="28"/>
        </w:rPr>
        <w:t xml:space="preserve"> преследовани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Times New Roman" w:hAnsi="Times New Roman"/>
          <w:sz w:val="28"/>
          <w:szCs w:val="28"/>
        </w:rPr>
        <w:t>уведомляющих</w:t>
      </w:r>
      <w:r w:rsidRPr="00C20E8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оповещающих</w:t>
      </w:r>
      <w:r w:rsidRPr="00C20E88">
        <w:rPr>
          <w:rFonts w:ascii="Times New Roman" w:hAnsi="Times New Roman"/>
          <w:sz w:val="28"/>
          <w:szCs w:val="28"/>
        </w:rPr>
        <w:t xml:space="preserve"> в общественных интересах о совершении определенных неправ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мерных актов, злоупотреблениях, нарушениях в рамках учреждений. В наст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ящее время ни один из органов публичной власти не взял на себя </w:t>
      </w:r>
      <w:r>
        <w:rPr>
          <w:rFonts w:ascii="Times New Roman" w:hAnsi="Times New Roman"/>
          <w:sz w:val="28"/>
          <w:szCs w:val="28"/>
        </w:rPr>
        <w:t xml:space="preserve">функцию </w:t>
      </w:r>
      <w:r w:rsidRPr="00C20E88">
        <w:rPr>
          <w:rFonts w:ascii="Times New Roman" w:hAnsi="Times New Roman"/>
          <w:sz w:val="28"/>
          <w:szCs w:val="28"/>
        </w:rPr>
        <w:t>защит</w:t>
      </w:r>
      <w:r>
        <w:rPr>
          <w:rFonts w:ascii="Times New Roman" w:hAnsi="Times New Roman"/>
          <w:sz w:val="28"/>
          <w:szCs w:val="28"/>
        </w:rPr>
        <w:t>ы</w:t>
      </w:r>
      <w:r w:rsidRPr="00C20E88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 интересов лиц, </w:t>
      </w:r>
      <w:r>
        <w:rPr>
          <w:rFonts w:ascii="Times New Roman" w:hAnsi="Times New Roman"/>
          <w:sz w:val="28"/>
          <w:szCs w:val="28"/>
        </w:rPr>
        <w:t>уведомляющих</w:t>
      </w:r>
      <w:r w:rsidRPr="00C20E8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оповещающих</w:t>
      </w:r>
      <w:r w:rsidRPr="00C20E88">
        <w:rPr>
          <w:rFonts w:ascii="Times New Roman" w:hAnsi="Times New Roman"/>
          <w:sz w:val="28"/>
          <w:szCs w:val="28"/>
        </w:rPr>
        <w:t xml:space="preserve"> о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тенциальных коррупционных преступлениях и других незаконных дейс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 xml:space="preserve">виях. </w:t>
      </w:r>
      <w:r>
        <w:rPr>
          <w:rFonts w:ascii="Times New Roman" w:hAnsi="Times New Roman"/>
          <w:sz w:val="28"/>
          <w:szCs w:val="28"/>
        </w:rPr>
        <w:t>Поэтому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ущемляются</w:t>
      </w:r>
      <w:r w:rsidRPr="00C20E88">
        <w:rPr>
          <w:rFonts w:ascii="Times New Roman" w:hAnsi="Times New Roman"/>
          <w:sz w:val="28"/>
          <w:szCs w:val="28"/>
        </w:rPr>
        <w:t xml:space="preserve"> основные права осв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домителей (право на </w:t>
      </w:r>
      <w:r>
        <w:rPr>
          <w:rFonts w:ascii="Times New Roman" w:hAnsi="Times New Roman"/>
          <w:sz w:val="28"/>
          <w:szCs w:val="28"/>
        </w:rPr>
        <w:t>труд</w:t>
      </w:r>
      <w:r w:rsidRPr="00C20E88">
        <w:rPr>
          <w:rFonts w:ascii="Times New Roman" w:hAnsi="Times New Roman"/>
          <w:sz w:val="28"/>
          <w:szCs w:val="28"/>
        </w:rPr>
        <w:t xml:space="preserve">, право на </w:t>
      </w:r>
      <w:proofErr w:type="spellStart"/>
      <w:r w:rsidRPr="00C20E88">
        <w:rPr>
          <w:rFonts w:ascii="Times New Roman" w:hAnsi="Times New Roman"/>
          <w:sz w:val="28"/>
          <w:szCs w:val="28"/>
        </w:rPr>
        <w:t>недискриминацию</w:t>
      </w:r>
      <w:proofErr w:type="spellEnd"/>
      <w:r w:rsidRPr="00C20E88">
        <w:rPr>
          <w:rFonts w:ascii="Times New Roman" w:hAnsi="Times New Roman"/>
          <w:sz w:val="28"/>
          <w:szCs w:val="28"/>
        </w:rPr>
        <w:t>, право на справедливое судебное разбирательс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 xml:space="preserve">во, и т.д.), что </w:t>
      </w:r>
      <w:proofErr w:type="spellStart"/>
      <w:r w:rsidRPr="00C20E88">
        <w:rPr>
          <w:rFonts w:ascii="Times New Roman" w:hAnsi="Times New Roman"/>
          <w:sz w:val="28"/>
          <w:szCs w:val="28"/>
        </w:rPr>
        <w:t>демотивирует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других сопротивляться коррупции и беззак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нию.</w:t>
      </w:r>
    </w:p>
    <w:p w:rsidR="0019475D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Специфические задачи Цели устойчивого развития ООН № 16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оздать эффективные, </w:t>
      </w:r>
      <w:r>
        <w:rPr>
          <w:rFonts w:ascii="Times New Roman" w:hAnsi="Times New Roman"/>
          <w:sz w:val="28"/>
          <w:szCs w:val="28"/>
        </w:rPr>
        <w:t>ответственные</w:t>
      </w:r>
      <w:r w:rsidRPr="00C20E88">
        <w:rPr>
          <w:rFonts w:ascii="Times New Roman" w:hAnsi="Times New Roman"/>
          <w:sz w:val="28"/>
          <w:szCs w:val="28"/>
        </w:rPr>
        <w:t xml:space="preserve"> и прозрачные учреждения на всех уровнях (16.6)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беспечить доступ общественности к информации и защитить основные св</w:t>
      </w:r>
      <w:r w:rsidRPr="00C20E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боды </w:t>
      </w:r>
      <w:r w:rsidRPr="00C20E88">
        <w:rPr>
          <w:rFonts w:ascii="Times New Roman" w:hAnsi="Times New Roman"/>
          <w:sz w:val="28"/>
          <w:szCs w:val="28"/>
        </w:rPr>
        <w:t>(16.10)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оощрять и проводить в жизнь недискриминационные законы и п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литики в интересах устойчивого развития (16.b).</w:t>
      </w: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VI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Развитие функций </w:t>
      </w:r>
      <w:r>
        <w:rPr>
          <w:rFonts w:ascii="Times New Roman" w:hAnsi="Times New Roman"/>
          <w:sz w:val="28"/>
          <w:szCs w:val="28"/>
        </w:rPr>
        <w:t>народного адвоката</w:t>
      </w:r>
      <w:r w:rsidRPr="00C20E88">
        <w:rPr>
          <w:rFonts w:ascii="Times New Roman" w:hAnsi="Times New Roman"/>
          <w:sz w:val="28"/>
          <w:szCs w:val="28"/>
        </w:rPr>
        <w:t xml:space="preserve"> по предотвр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щению коррупции путем повышения ответственности публичных учре</w:t>
      </w:r>
      <w:r w:rsidRPr="00C20E88">
        <w:rPr>
          <w:rFonts w:ascii="Times New Roman" w:hAnsi="Times New Roman"/>
          <w:sz w:val="28"/>
          <w:szCs w:val="28"/>
        </w:rPr>
        <w:t>ж</w:t>
      </w:r>
      <w:r w:rsidRPr="00C20E88">
        <w:rPr>
          <w:rFonts w:ascii="Times New Roman" w:hAnsi="Times New Roman"/>
          <w:sz w:val="28"/>
          <w:szCs w:val="28"/>
        </w:rPr>
        <w:t xml:space="preserve">дений </w:t>
      </w:r>
      <w:r>
        <w:rPr>
          <w:rFonts w:ascii="Times New Roman" w:hAnsi="Times New Roman"/>
          <w:sz w:val="28"/>
          <w:szCs w:val="28"/>
        </w:rPr>
        <w:t>за</w:t>
      </w:r>
      <w:r w:rsidRPr="00C20E88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прав человека и обеспечения защиты осведомителей по неподку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ности.</w:t>
      </w: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lastRenderedPageBreak/>
        <w:t>Показатели воздействия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оверие к народному адвокату повысилось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облюдение основных прав обеспечено</w:t>
      </w:r>
    </w:p>
    <w:p w:rsidR="0019475D" w:rsidRPr="00037E9F" w:rsidRDefault="0019475D" w:rsidP="0019475D">
      <w:pPr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 xml:space="preserve">роцент лиц, не </w:t>
      </w:r>
      <w:r>
        <w:rPr>
          <w:rFonts w:ascii="Times New Roman" w:hAnsi="Times New Roman"/>
          <w:sz w:val="28"/>
          <w:szCs w:val="28"/>
        </w:rPr>
        <w:t>уведомляющих о</w:t>
      </w:r>
      <w:r w:rsidRPr="00C20E88">
        <w:rPr>
          <w:rFonts w:ascii="Times New Roman" w:hAnsi="Times New Roman"/>
          <w:sz w:val="28"/>
          <w:szCs w:val="28"/>
        </w:rPr>
        <w:t xml:space="preserve"> коррупци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по причине страха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сн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зился.</w:t>
      </w: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P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tabs>
          <w:tab w:val="left" w:pos="45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49"/>
        <w:gridCol w:w="3119"/>
      </w:tblGrid>
      <w:tr w:rsidR="0019475D" w:rsidRPr="00EB253F" w:rsidTr="00630767">
        <w:trPr>
          <w:trHeight w:val="275"/>
        </w:trPr>
        <w:tc>
          <w:tcPr>
            <w:tcW w:w="34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ы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 xml:space="preserve"> VI</w:t>
            </w:r>
          </w:p>
        </w:tc>
        <w:tc>
          <w:tcPr>
            <w:tcW w:w="304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Ожидаемые результ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а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ты</w:t>
            </w:r>
          </w:p>
        </w:tc>
        <w:tc>
          <w:tcPr>
            <w:tcW w:w="311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19475D" w:rsidRPr="00EB253F" w:rsidRDefault="0019475D" w:rsidP="0063076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Показатели результата</w:t>
            </w:r>
          </w:p>
        </w:tc>
      </w:tr>
      <w:tr w:rsidR="0019475D" w:rsidRPr="00EB253F" w:rsidTr="00630767">
        <w:trPr>
          <w:trHeight w:val="699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VI.1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Предупреждение коррупции для обеспечения соблюд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ния прав человека</w:t>
            </w:r>
          </w:p>
        </w:tc>
        <w:tc>
          <w:tcPr>
            <w:tcW w:w="3049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прав чел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века в публичных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субъектах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Улучшения, отмече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ные в отчетах партнеров по развитию о полож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нии дел в области прав чел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века в Республике Мо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дова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, подвергн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тые оценке, </w:t>
            </w:r>
            <w:r>
              <w:rPr>
                <w:rFonts w:ascii="Times New Roman" w:hAnsi="Times New Roman"/>
                <w:sz w:val="24"/>
                <w:szCs w:val="24"/>
              </w:rPr>
              <w:t>устранили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указанны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в отчетах НЦБК об оценке инст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туциональной непо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купности риски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уще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прав человека, вызванны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коррупц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19475D" w:rsidRPr="00EB253F" w:rsidTr="00630767">
        <w:trPr>
          <w:trHeight w:val="1697"/>
        </w:trPr>
        <w:tc>
          <w:tcPr>
            <w:tcW w:w="3438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VI.2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основных прав осведомителей по неподку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ности </w:t>
            </w:r>
          </w:p>
        </w:tc>
        <w:tc>
          <w:tcPr>
            <w:tcW w:w="3049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Поощрение сотрудн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уведомлять 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коррупци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и мошеннич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9"/>
              </w:numPr>
              <w:tabs>
                <w:tab w:val="left" w:pos="252"/>
              </w:tabs>
              <w:spacing w:after="120" w:line="240" w:lineRule="auto"/>
              <w:ind w:left="268" w:right="34" w:hanging="283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kern w:val="32"/>
                <w:sz w:val="24"/>
                <w:szCs w:val="24"/>
              </w:rPr>
              <w:t>Разработанная и утве</w:t>
            </w:r>
            <w:r w:rsidRPr="00EB253F">
              <w:rPr>
                <w:rFonts w:ascii="Times New Roman" w:hAnsi="Times New Roman"/>
                <w:kern w:val="32"/>
                <w:sz w:val="24"/>
                <w:szCs w:val="24"/>
              </w:rPr>
              <w:t>р</w:t>
            </w:r>
            <w:r w:rsidRPr="00EB253F">
              <w:rPr>
                <w:rFonts w:ascii="Times New Roman" w:hAnsi="Times New Roman"/>
                <w:kern w:val="32"/>
                <w:sz w:val="24"/>
                <w:szCs w:val="24"/>
              </w:rPr>
              <w:t xml:space="preserve">жденная нормативная база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осведом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телей по неподку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19475D" w:rsidRPr="00EB253F" w:rsidRDefault="0019475D" w:rsidP="00630767">
            <w:pPr>
              <w:numPr>
                <w:ilvl w:val="0"/>
                <w:numId w:val="9"/>
              </w:numPr>
              <w:tabs>
                <w:tab w:val="left" w:pos="252"/>
              </w:tabs>
              <w:spacing w:after="120" w:line="240" w:lineRule="auto"/>
              <w:ind w:left="268" w:right="34" w:hanging="283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Запросившие защиту осведомители по непо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куп</w:t>
            </w:r>
            <w:r>
              <w:rPr>
                <w:rFonts w:ascii="Times New Roman" w:hAnsi="Times New Roman"/>
                <w:sz w:val="24"/>
                <w:szCs w:val="24"/>
              </w:rPr>
              <w:t>ности, взятые под защиту народного адв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</w:p>
          <w:p w:rsidR="0019475D" w:rsidRPr="00EB253F" w:rsidRDefault="0019475D" w:rsidP="00630767">
            <w:pPr>
              <w:numPr>
                <w:ilvl w:val="0"/>
                <w:numId w:val="9"/>
              </w:numPr>
              <w:tabs>
                <w:tab w:val="left" w:pos="252"/>
              </w:tabs>
              <w:spacing w:after="120" w:line="240" w:lineRule="auto"/>
              <w:ind w:left="268" w:right="34" w:hanging="283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народного адв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, представленные Парламенту</w:t>
            </w:r>
          </w:p>
          <w:p w:rsidR="0019475D" w:rsidRPr="00EB253F" w:rsidRDefault="0019475D" w:rsidP="00630767">
            <w:pPr>
              <w:numPr>
                <w:ilvl w:val="0"/>
                <w:numId w:val="9"/>
              </w:numPr>
              <w:tabs>
                <w:tab w:val="left" w:pos="252"/>
              </w:tabs>
              <w:spacing w:after="120" w:line="240" w:lineRule="auto"/>
              <w:ind w:left="268" w:right="34" w:hanging="283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Улучшен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монит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ринг гражданским общ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ством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адвоката</w:t>
            </w:r>
          </w:p>
        </w:tc>
      </w:tr>
    </w:tbl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F821F5" w:rsidRDefault="0019475D" w:rsidP="0019475D">
      <w:pPr>
        <w:pStyle w:val="Heading2"/>
        <w:spacing w:before="0" w:after="0" w:line="240" w:lineRule="auto"/>
        <w:ind w:firstLine="709"/>
        <w:rPr>
          <w:rFonts w:ascii="Times New Roman" w:hAnsi="Times New Roman"/>
          <w:color w:val="002060"/>
        </w:rPr>
      </w:pPr>
      <w:bookmarkStart w:id="34" w:name="_Toc468129272"/>
      <w:bookmarkStart w:id="35" w:name="_Toc461617392"/>
      <w:bookmarkStart w:id="36" w:name="_Toc461617291"/>
      <w:r w:rsidRPr="00F821F5">
        <w:rPr>
          <w:rFonts w:ascii="Times New Roman" w:hAnsi="Times New Roman"/>
          <w:iCs w:val="0"/>
          <w:color w:val="002060"/>
        </w:rPr>
        <w:t>Опор</w:t>
      </w:r>
      <w:r>
        <w:rPr>
          <w:rFonts w:ascii="Times New Roman" w:hAnsi="Times New Roman"/>
          <w:iCs w:val="0"/>
          <w:color w:val="002060"/>
        </w:rPr>
        <w:t>а</w:t>
      </w:r>
      <w:r w:rsidRPr="00F821F5">
        <w:rPr>
          <w:rFonts w:ascii="Times New Roman" w:hAnsi="Times New Roman"/>
          <w:iCs w:val="0"/>
          <w:color w:val="002060"/>
        </w:rPr>
        <w:t xml:space="preserve"> VII.</w:t>
      </w:r>
      <w:r w:rsidRPr="00F821F5">
        <w:rPr>
          <w:rFonts w:ascii="Times New Roman" w:hAnsi="Times New Roman"/>
          <w:color w:val="002060"/>
        </w:rPr>
        <w:t xml:space="preserve"> </w:t>
      </w:r>
      <w:r w:rsidRPr="00F821F5">
        <w:rPr>
          <w:rFonts w:ascii="Times New Roman" w:hAnsi="Times New Roman"/>
          <w:iCs w:val="0"/>
          <w:color w:val="002060"/>
        </w:rPr>
        <w:t>Частный сектор</w:t>
      </w:r>
      <w:bookmarkEnd w:id="34"/>
      <w:bookmarkEnd w:id="35"/>
      <w:bookmarkEnd w:id="36"/>
    </w:p>
    <w:p w:rsidR="0019475D" w:rsidRPr="00F821F5" w:rsidRDefault="0019475D" w:rsidP="0019475D">
      <w:pPr>
        <w:spacing w:after="0" w:line="240" w:lineRule="auto"/>
        <w:ind w:firstLine="709"/>
        <w:rPr>
          <w:i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Описание проблемы</w:t>
      </w:r>
      <w:r w:rsidRPr="001D61CD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Отчет об оценке соответствия антикоррупционной системы Республики Молдова основным международным стандартам в области борьбы с коррупцией и обеспечения неподкупности</w:t>
      </w:r>
      <w:r w:rsidRPr="00C20E88">
        <w:rPr>
          <w:rStyle w:val="FootnoteReference"/>
          <w:rFonts w:ascii="Times New Roman" w:hAnsi="Times New Roman"/>
          <w:sz w:val="28"/>
          <w:szCs w:val="28"/>
        </w:rPr>
        <w:footnoteReference w:id="39"/>
      </w:r>
      <w:r w:rsidRPr="00C20E88">
        <w:rPr>
          <w:rFonts w:ascii="Times New Roman" w:hAnsi="Times New Roman"/>
          <w:sz w:val="28"/>
          <w:szCs w:val="28"/>
        </w:rPr>
        <w:t>, опубликова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 xml:space="preserve">ный в октябре 2016 года, выявил разрушительное воздействие коррупции на частный сектор. </w:t>
      </w:r>
      <w:proofErr w:type="gramStart"/>
      <w:r w:rsidRPr="00C20E8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проведенному </w:t>
      </w:r>
      <w:r w:rsidRPr="00C20E88">
        <w:rPr>
          <w:rFonts w:ascii="Times New Roman" w:hAnsi="Times New Roman"/>
          <w:sz w:val="28"/>
          <w:szCs w:val="28"/>
        </w:rPr>
        <w:t>Всемирн</w:t>
      </w:r>
      <w:r>
        <w:rPr>
          <w:rFonts w:ascii="Times New Roman" w:hAnsi="Times New Roman"/>
          <w:sz w:val="28"/>
          <w:szCs w:val="28"/>
        </w:rPr>
        <w:t>ым</w:t>
      </w:r>
      <w:r w:rsidRPr="00C20E88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ом</w:t>
      </w:r>
      <w:r w:rsidRPr="008B7C3C"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в 2015 году</w:t>
      </w:r>
      <w:r w:rsidRPr="008B7C3C"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следованию о легкости ведения бизнеса (</w:t>
      </w:r>
      <w:proofErr w:type="spellStart"/>
      <w:r w:rsidRPr="00C20E88">
        <w:rPr>
          <w:rFonts w:ascii="Times New Roman" w:hAnsi="Times New Roman"/>
          <w:sz w:val="28"/>
          <w:szCs w:val="28"/>
        </w:rPr>
        <w:t>Ease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of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Doing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Business</w:t>
      </w:r>
      <w:proofErr w:type="spellEnd"/>
      <w:r w:rsidRPr="00C20E88">
        <w:rPr>
          <w:rFonts w:ascii="Times New Roman" w:hAnsi="Times New Roman"/>
          <w:sz w:val="28"/>
          <w:szCs w:val="28"/>
        </w:rPr>
        <w:t>) в Республике Молдова, несмотря на положительное развитие, о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меченное в ряде секторов, усилия по борьбе с коррупцией, повышению прозрачности в процессе принятия реш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ний, сокращению бюрократии и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C20E88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 принципов прав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вого государства пока не привели к заметному улучшению инвестиционного кл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мата. </w:t>
      </w:r>
      <w:proofErr w:type="gramEnd"/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иски </w:t>
      </w:r>
      <w:r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отмечены в областях регулирования операций импо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та и экспорта, защиты конкуренции, строительства жилья, государственно-частных партнерств, корпоративного управления, в особенности на предпри</w:t>
      </w:r>
      <w:r w:rsidRPr="00C20E88"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>тиях с полным или преимущественно государственным/муниципальным кап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талом и т.д. За последние годы случаи мошенничества в финансово-банковском секторе, связанные с отсутствием </w:t>
      </w:r>
      <w:r w:rsidRPr="00C20E88">
        <w:rPr>
          <w:rFonts w:ascii="Times New Roman" w:hAnsi="Times New Roman"/>
          <w:sz w:val="28"/>
          <w:szCs w:val="28"/>
        </w:rPr>
        <w:lastRenderedPageBreak/>
        <w:t xml:space="preserve">прозрачности </w:t>
      </w:r>
      <w:proofErr w:type="spellStart"/>
      <w:r w:rsidRPr="00C20E88">
        <w:rPr>
          <w:rFonts w:ascii="Times New Roman" w:hAnsi="Times New Roman"/>
          <w:sz w:val="28"/>
          <w:szCs w:val="28"/>
        </w:rPr>
        <w:t>акционерства</w:t>
      </w:r>
      <w:proofErr w:type="spellEnd"/>
      <w:r w:rsidRPr="00C20E88">
        <w:rPr>
          <w:rFonts w:ascii="Times New Roman" w:hAnsi="Times New Roman"/>
          <w:sz w:val="28"/>
          <w:szCs w:val="28"/>
        </w:rPr>
        <w:t>, коррупцией и отмыванием денег, привели к недоверию и глубокому разочар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ванию населения в политическом классе, а также к значительным рискам для наци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нальной безопасности.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Затраты, связанные с коррупцией в частном секторе, огромны. Они отрицательно влияют на качество приобретаемых</w:t>
      </w:r>
      <w:r>
        <w:rPr>
          <w:rFonts w:ascii="Times New Roman" w:hAnsi="Times New Roman"/>
          <w:sz w:val="28"/>
          <w:szCs w:val="28"/>
        </w:rPr>
        <w:t>/поставляемых</w:t>
      </w:r>
      <w:r w:rsidRPr="00C20E88">
        <w:rPr>
          <w:rFonts w:ascii="Times New Roman" w:hAnsi="Times New Roman"/>
          <w:sz w:val="28"/>
          <w:szCs w:val="28"/>
        </w:rPr>
        <w:t xml:space="preserve"> товаров и 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зываемых </w:t>
      </w:r>
      <w:r w:rsidRPr="00C20E88">
        <w:rPr>
          <w:rFonts w:ascii="Times New Roman" w:hAnsi="Times New Roman"/>
          <w:sz w:val="28"/>
          <w:szCs w:val="28"/>
        </w:rPr>
        <w:t>услуг, на конкурентоспособность и правила рыночной экономики, инвестиционный процесс и национальный публичный бюджет. Взятки, в</w:t>
      </w:r>
      <w:r w:rsidRPr="00C20E88">
        <w:rPr>
          <w:rFonts w:ascii="Times New Roman" w:hAnsi="Times New Roman"/>
          <w:sz w:val="28"/>
          <w:szCs w:val="28"/>
        </w:rPr>
        <w:t>ы</w:t>
      </w:r>
      <w:r w:rsidRPr="00C20E88">
        <w:rPr>
          <w:rFonts w:ascii="Times New Roman" w:hAnsi="Times New Roman"/>
          <w:sz w:val="28"/>
          <w:szCs w:val="28"/>
        </w:rPr>
        <w:t xml:space="preserve">плачиваемые </w:t>
      </w:r>
      <w:r>
        <w:rPr>
          <w:rFonts w:ascii="Times New Roman" w:hAnsi="Times New Roman"/>
          <w:sz w:val="28"/>
          <w:szCs w:val="28"/>
        </w:rPr>
        <w:t>хозяйствующими субъектами</w:t>
      </w:r>
      <w:r w:rsidRPr="00C20E88">
        <w:rPr>
          <w:rFonts w:ascii="Times New Roman" w:hAnsi="Times New Roman"/>
          <w:sz w:val="28"/>
          <w:szCs w:val="28"/>
        </w:rPr>
        <w:t xml:space="preserve"> и влияние личных интересов при получении договоров о государственных закупках, обуславливают незако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</w:t>
      </w:r>
      <w:r w:rsidRPr="00C20E88">
        <w:rPr>
          <w:rFonts w:ascii="Times New Roman" w:hAnsi="Times New Roman"/>
          <w:sz w:val="28"/>
          <w:szCs w:val="28"/>
        </w:rPr>
        <w:t xml:space="preserve"> стоимости таких договоров в ущерб качеству оказываемых услуг и поставляемых товаров. </w:t>
      </w:r>
      <w:r>
        <w:rPr>
          <w:rFonts w:ascii="Times New Roman" w:hAnsi="Times New Roman"/>
          <w:sz w:val="28"/>
          <w:szCs w:val="28"/>
        </w:rPr>
        <w:t>Хозяйствующие субъекты</w:t>
      </w:r>
      <w:r w:rsidRPr="00C20E88">
        <w:rPr>
          <w:rFonts w:ascii="Times New Roman" w:hAnsi="Times New Roman"/>
          <w:sz w:val="28"/>
          <w:szCs w:val="28"/>
        </w:rPr>
        <w:t xml:space="preserve"> и публичные агенты, а та</w:t>
      </w:r>
      <w:r w:rsidRPr="00C20E88"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же политические субъекты налаживают незаконные связи для получения д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говоров о государственных закупках и финансирования политич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ских партий.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Согласно опросу о восприятии и собственном опыте домохозяйств и предпринимателей в отношении коррупции общая сумма взяток, выплаче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ных предпринимателями в 2015 году, оценивается в 381 миллион леев (ок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ло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 xml:space="preserve">213 миллионов долларов США).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Среди малых предприятий отмечается низкий уровень этических ста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дартов</w:t>
      </w:r>
      <w:r>
        <w:rPr>
          <w:rFonts w:ascii="Times New Roman" w:hAnsi="Times New Roman"/>
          <w:sz w:val="28"/>
          <w:szCs w:val="28"/>
        </w:rPr>
        <w:t>.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C20E88">
        <w:rPr>
          <w:rFonts w:ascii="Times New Roman" w:hAnsi="Times New Roman"/>
          <w:sz w:val="28"/>
          <w:szCs w:val="28"/>
        </w:rPr>
        <w:t>ольшинство крупных предприятий не применяет правил корпорати</w:t>
      </w:r>
      <w:r w:rsidRPr="00C20E88">
        <w:rPr>
          <w:rFonts w:ascii="Times New Roman" w:hAnsi="Times New Roman"/>
          <w:sz w:val="28"/>
          <w:szCs w:val="28"/>
        </w:rPr>
        <w:t>в</w:t>
      </w:r>
      <w:r w:rsidRPr="00C20E88">
        <w:rPr>
          <w:rFonts w:ascii="Times New Roman" w:hAnsi="Times New Roman"/>
          <w:sz w:val="28"/>
          <w:szCs w:val="28"/>
        </w:rPr>
        <w:t>ного управления</w:t>
      </w:r>
      <w:r>
        <w:rPr>
          <w:rFonts w:ascii="Times New Roman" w:hAnsi="Times New Roman"/>
          <w:sz w:val="28"/>
          <w:szCs w:val="28"/>
        </w:rPr>
        <w:t>.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20E88">
        <w:rPr>
          <w:rFonts w:ascii="Times New Roman" w:hAnsi="Times New Roman"/>
          <w:sz w:val="28"/>
          <w:szCs w:val="28"/>
        </w:rPr>
        <w:t xml:space="preserve"> Мировому индексу экономической свободы 2016, ра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считываемому </w:t>
      </w:r>
      <w:proofErr w:type="spellStart"/>
      <w:r w:rsidRPr="00C20E88">
        <w:rPr>
          <w:rFonts w:ascii="Times New Roman" w:hAnsi="Times New Roman"/>
          <w:sz w:val="28"/>
          <w:szCs w:val="28"/>
        </w:rPr>
        <w:t>Heritage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Foundation</w:t>
      </w:r>
      <w:proofErr w:type="spellEnd"/>
      <w:r w:rsidRPr="00C20E88">
        <w:rPr>
          <w:rFonts w:ascii="Times New Roman" w:hAnsi="Times New Roman"/>
          <w:sz w:val="28"/>
          <w:szCs w:val="28"/>
        </w:rPr>
        <w:t>, Республика Молдова находится на 117 м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сте из 178 стран. Согласно исследованию, коррупция является одним из о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>новных вызовов, а бюрократия и отсутствие прозрачности приводят к увел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чению стоимости и повышению сложности создания и ведения бизнеса в Ре</w:t>
      </w:r>
      <w:r w:rsidRPr="00C20E88">
        <w:rPr>
          <w:rFonts w:ascii="Times New Roman" w:hAnsi="Times New Roman"/>
          <w:sz w:val="28"/>
          <w:szCs w:val="28"/>
        </w:rPr>
        <w:t>с</w:t>
      </w:r>
      <w:r w:rsidRPr="00C20E88">
        <w:rPr>
          <w:rFonts w:ascii="Times New Roman" w:hAnsi="Times New Roman"/>
          <w:sz w:val="28"/>
          <w:szCs w:val="28"/>
        </w:rPr>
        <w:t xml:space="preserve">публике Молдова. </w:t>
      </w:r>
      <w:r>
        <w:rPr>
          <w:rFonts w:ascii="Times New Roman" w:hAnsi="Times New Roman"/>
          <w:sz w:val="28"/>
          <w:szCs w:val="28"/>
        </w:rPr>
        <w:t>По</w:t>
      </w:r>
      <w:r w:rsidRPr="00C20E88">
        <w:rPr>
          <w:rFonts w:ascii="Times New Roman" w:hAnsi="Times New Roman"/>
          <w:sz w:val="28"/>
          <w:szCs w:val="28"/>
        </w:rPr>
        <w:t xml:space="preserve"> Всемирному индексу взяточничества в бизнесе (</w:t>
      </w:r>
      <w:proofErr w:type="spellStart"/>
      <w:r w:rsidRPr="00C20E88">
        <w:rPr>
          <w:rFonts w:ascii="Times New Roman" w:hAnsi="Times New Roman"/>
          <w:sz w:val="28"/>
          <w:szCs w:val="28"/>
        </w:rPr>
        <w:t>Global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Business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Bribery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Risk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E88">
        <w:rPr>
          <w:rFonts w:ascii="Times New Roman" w:hAnsi="Times New Roman"/>
          <w:sz w:val="28"/>
          <w:szCs w:val="28"/>
        </w:rPr>
        <w:t>Index</w:t>
      </w:r>
      <w:proofErr w:type="spellEnd"/>
      <w:r w:rsidRPr="00C20E88">
        <w:rPr>
          <w:rFonts w:ascii="Times New Roman" w:hAnsi="Times New Roman"/>
          <w:sz w:val="28"/>
          <w:szCs w:val="28"/>
        </w:rPr>
        <w:t>), рассчитываемому ассоциацией неправител</w:t>
      </w:r>
      <w:r w:rsidRPr="00C20E88">
        <w:rPr>
          <w:rFonts w:ascii="Times New Roman" w:hAnsi="Times New Roman"/>
          <w:sz w:val="28"/>
          <w:szCs w:val="28"/>
        </w:rPr>
        <w:t>ь</w:t>
      </w:r>
      <w:r w:rsidRPr="00C20E88">
        <w:rPr>
          <w:rFonts w:ascii="Times New Roman" w:hAnsi="Times New Roman"/>
          <w:sz w:val="28"/>
          <w:szCs w:val="28"/>
        </w:rPr>
        <w:t xml:space="preserve">ственных предприятий TRACE </w:t>
      </w:r>
      <w:proofErr w:type="spellStart"/>
      <w:r w:rsidRPr="00C20E88">
        <w:rPr>
          <w:rFonts w:ascii="Times New Roman" w:hAnsi="Times New Roman"/>
          <w:sz w:val="28"/>
          <w:szCs w:val="28"/>
        </w:rPr>
        <w:t>International</w:t>
      </w:r>
      <w:proofErr w:type="spellEnd"/>
      <w:r w:rsidRPr="00C20E88">
        <w:rPr>
          <w:rFonts w:ascii="Times New Roman" w:hAnsi="Times New Roman"/>
          <w:sz w:val="28"/>
          <w:szCs w:val="28"/>
        </w:rPr>
        <w:t xml:space="preserve">, Республика Молдова занимает 130 место из 197 стран. </w:t>
      </w:r>
      <w:r>
        <w:rPr>
          <w:rFonts w:ascii="Times New Roman" w:hAnsi="Times New Roman"/>
          <w:sz w:val="28"/>
          <w:szCs w:val="28"/>
        </w:rPr>
        <w:t>По такому показателю, как</w:t>
      </w:r>
      <w:r w:rsidRPr="00C20E88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с Прав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тельством</w:t>
      </w:r>
      <w:r>
        <w:rPr>
          <w:rFonts w:ascii="Times New Roman" w:hAnsi="Times New Roman"/>
          <w:sz w:val="28"/>
          <w:szCs w:val="28"/>
        </w:rPr>
        <w:t>,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которому присвоен наивысший бал (70), </w:t>
      </w:r>
      <w:r w:rsidRPr="00C20E88">
        <w:rPr>
          <w:rFonts w:ascii="Times New Roman" w:hAnsi="Times New Roman"/>
          <w:sz w:val="28"/>
          <w:szCs w:val="28"/>
        </w:rPr>
        <w:t>Республика Молдова была отнесена к группе стран с повышенным уровнем рисков корру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 xml:space="preserve">Во взаимодействии частного сектора с </w:t>
      </w:r>
      <w:proofErr w:type="gramStart"/>
      <w:r w:rsidRPr="00C20E88">
        <w:rPr>
          <w:rFonts w:ascii="Times New Roman" w:hAnsi="Times New Roman"/>
          <w:sz w:val="28"/>
          <w:szCs w:val="28"/>
        </w:rPr>
        <w:t>публичным</w:t>
      </w:r>
      <w:proofErr w:type="gramEnd"/>
      <w:r w:rsidRPr="00C20E88">
        <w:rPr>
          <w:rFonts w:ascii="Times New Roman" w:hAnsi="Times New Roman"/>
          <w:sz w:val="28"/>
          <w:szCs w:val="28"/>
        </w:rPr>
        <w:t xml:space="preserve"> часто встречается </w:t>
      </w:r>
      <w:proofErr w:type="spellStart"/>
      <w:r w:rsidRPr="00C20E88">
        <w:rPr>
          <w:rFonts w:ascii="Times New Roman" w:hAnsi="Times New Roman"/>
          <w:sz w:val="28"/>
          <w:szCs w:val="28"/>
        </w:rPr>
        <w:t>пантуфляж</w:t>
      </w:r>
      <w:proofErr w:type="spellEnd"/>
      <w:r w:rsidRPr="00C20E88">
        <w:rPr>
          <w:rFonts w:ascii="Times New Roman" w:hAnsi="Times New Roman"/>
          <w:sz w:val="28"/>
          <w:szCs w:val="28"/>
        </w:rPr>
        <w:t>. Представители публичного сектора с легкостью переходят в час</w:t>
      </w:r>
      <w:r w:rsidRPr="00C20E88">
        <w:rPr>
          <w:rFonts w:ascii="Times New Roman" w:hAnsi="Times New Roman"/>
          <w:sz w:val="28"/>
          <w:szCs w:val="28"/>
        </w:rPr>
        <w:t>т</w:t>
      </w:r>
      <w:r w:rsidRPr="00C20E88">
        <w:rPr>
          <w:rFonts w:ascii="Times New Roman" w:hAnsi="Times New Roman"/>
          <w:sz w:val="28"/>
          <w:szCs w:val="28"/>
        </w:rPr>
        <w:t>ный сектор, который они же контролировали ранее в качестве публичных агентов, что неизбежно ведет к фаворитизму, конфликту интересов и использованию конфиденциальной и служебной информ</w:t>
      </w:r>
      <w:r w:rsidRPr="00C20E88">
        <w:rPr>
          <w:rFonts w:ascii="Times New Roman" w:hAnsi="Times New Roman"/>
          <w:sz w:val="28"/>
          <w:szCs w:val="28"/>
        </w:rPr>
        <w:t>а</w:t>
      </w:r>
      <w:r w:rsidRPr="00C20E88">
        <w:rPr>
          <w:rFonts w:ascii="Times New Roman" w:hAnsi="Times New Roman"/>
          <w:sz w:val="28"/>
          <w:szCs w:val="28"/>
        </w:rPr>
        <w:t>ции в интересах частных лиц в ущерб общественным интересам. Ограничения, предусмотренные зак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нодательством, не соблюдаются. </w:t>
      </w: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тсутству</w:t>
      </w:r>
      <w:r>
        <w:rPr>
          <w:rFonts w:ascii="Times New Roman" w:hAnsi="Times New Roman"/>
          <w:sz w:val="28"/>
          <w:szCs w:val="28"/>
        </w:rPr>
        <w:t>ю</w:t>
      </w:r>
      <w:r w:rsidRPr="00C20E88">
        <w:rPr>
          <w:rFonts w:ascii="Times New Roman" w:hAnsi="Times New Roman"/>
          <w:sz w:val="28"/>
          <w:szCs w:val="28"/>
        </w:rPr>
        <w:t xml:space="preserve">т </w:t>
      </w:r>
      <w:r w:rsidRPr="00C20E88">
        <w:rPr>
          <w:rFonts w:ascii="Times New Roman" w:hAnsi="Times New Roman"/>
          <w:sz w:val="28"/>
          <w:szCs w:val="28"/>
        </w:rPr>
        <w:lastRenderedPageBreak/>
        <w:t xml:space="preserve">механизм </w:t>
      </w:r>
      <w:r>
        <w:rPr>
          <w:rFonts w:ascii="Times New Roman" w:hAnsi="Times New Roman"/>
          <w:sz w:val="28"/>
          <w:szCs w:val="28"/>
        </w:rPr>
        <w:t>установления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ряемой</w:t>
      </w:r>
      <w:r w:rsidRPr="00C20E88">
        <w:rPr>
          <w:rFonts w:ascii="Times New Roman" w:hAnsi="Times New Roman"/>
          <w:sz w:val="28"/>
          <w:szCs w:val="28"/>
        </w:rPr>
        <w:t xml:space="preserve"> обяза</w:t>
      </w:r>
      <w:r>
        <w:rPr>
          <w:rFonts w:ascii="Times New Roman" w:hAnsi="Times New Roman"/>
          <w:sz w:val="28"/>
          <w:szCs w:val="28"/>
        </w:rPr>
        <w:t>нности</w:t>
      </w:r>
      <w:r w:rsidRPr="00C20E88">
        <w:rPr>
          <w:rFonts w:ascii="Times New Roman" w:hAnsi="Times New Roman"/>
          <w:sz w:val="28"/>
          <w:szCs w:val="28"/>
        </w:rPr>
        <w:t xml:space="preserve"> декларировани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публичными агентами</w:t>
      </w:r>
      <w:r w:rsidRPr="00C20E88">
        <w:rPr>
          <w:rFonts w:ascii="Times New Roman" w:hAnsi="Times New Roman"/>
          <w:sz w:val="28"/>
          <w:szCs w:val="28"/>
        </w:rPr>
        <w:t xml:space="preserve"> предложений о переводе</w:t>
      </w:r>
      <w:r>
        <w:rPr>
          <w:rFonts w:ascii="Times New Roman" w:hAnsi="Times New Roman"/>
          <w:sz w:val="28"/>
          <w:szCs w:val="28"/>
        </w:rPr>
        <w:t xml:space="preserve"> в частный сектор</w:t>
      </w:r>
      <w:r w:rsidRPr="00C20E88">
        <w:rPr>
          <w:rFonts w:ascii="Times New Roman" w:hAnsi="Times New Roman"/>
          <w:sz w:val="28"/>
          <w:szCs w:val="28"/>
        </w:rPr>
        <w:t xml:space="preserve">, которые они получили и </w:t>
      </w:r>
      <w:r>
        <w:rPr>
          <w:rFonts w:ascii="Times New Roman" w:hAnsi="Times New Roman"/>
          <w:sz w:val="28"/>
          <w:szCs w:val="28"/>
        </w:rPr>
        <w:t>намерены</w:t>
      </w:r>
      <w:r w:rsidRPr="00C20E88">
        <w:rPr>
          <w:rFonts w:ascii="Times New Roman" w:hAnsi="Times New Roman"/>
          <w:sz w:val="28"/>
          <w:szCs w:val="28"/>
        </w:rPr>
        <w:t xml:space="preserve"> принять, а та</w:t>
      </w:r>
      <w:r w:rsidRPr="00C20E88"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же способы мониторинга и решения таких ситуаций, приводящих к злоупотреблен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ям.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Политическое влияние на назначение лиц в руководящие и контролир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>ющие органы государственных и муниципальных предприятий, а также ни</w:t>
      </w:r>
      <w:r w:rsidRPr="00C20E88"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кая управленческая способность</w:t>
      </w:r>
      <w:r>
        <w:rPr>
          <w:rFonts w:ascii="Times New Roman" w:hAnsi="Times New Roman"/>
          <w:sz w:val="28"/>
          <w:szCs w:val="28"/>
        </w:rPr>
        <w:t xml:space="preserve"> таких лиц</w:t>
      </w:r>
      <w:r w:rsidRPr="00C20E88">
        <w:rPr>
          <w:rFonts w:ascii="Times New Roman" w:hAnsi="Times New Roman"/>
          <w:sz w:val="28"/>
          <w:szCs w:val="28"/>
        </w:rPr>
        <w:t xml:space="preserve"> связаны, как правило, с фавор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тизмом, конфликт</w:t>
      </w:r>
      <w:r>
        <w:rPr>
          <w:rFonts w:ascii="Times New Roman" w:hAnsi="Times New Roman"/>
          <w:sz w:val="28"/>
          <w:szCs w:val="28"/>
        </w:rPr>
        <w:t>ом</w:t>
      </w:r>
      <w:r w:rsidRPr="00C20E88">
        <w:rPr>
          <w:rFonts w:ascii="Times New Roman" w:hAnsi="Times New Roman"/>
          <w:sz w:val="28"/>
          <w:szCs w:val="28"/>
        </w:rPr>
        <w:t xml:space="preserve"> интересов и злоупотреблениями. Отсутствие прозрачн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сти в управлении и руководстве предприятиями с полным или преимущ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ственно государственным/муниципальным капиталом, отсутствие ответстве</w:t>
      </w:r>
      <w:r w:rsidRPr="00C20E88">
        <w:rPr>
          <w:rFonts w:ascii="Times New Roman" w:hAnsi="Times New Roman"/>
          <w:sz w:val="28"/>
          <w:szCs w:val="28"/>
        </w:rPr>
        <w:t>н</w:t>
      </w:r>
      <w:r w:rsidRPr="00C20E88">
        <w:rPr>
          <w:rFonts w:ascii="Times New Roman" w:hAnsi="Times New Roman"/>
          <w:sz w:val="28"/>
          <w:szCs w:val="28"/>
        </w:rPr>
        <w:t>ности за ненадлежащее управление свидетельствуют о существовании серье</w:t>
      </w:r>
      <w:r w:rsidRPr="00C20E88"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ных проблем в корпоративном управлении предприятий с долевым участием гос</w:t>
      </w:r>
      <w:r w:rsidRPr="00C20E88"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 xml:space="preserve">дарства и органах местного публичного управления.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Регламентировани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требований к законному осуществлению предпр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нимательской деятельности и инкриминировани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коррупционных </w:t>
      </w:r>
      <w:r>
        <w:rPr>
          <w:rFonts w:ascii="Times New Roman" w:hAnsi="Times New Roman"/>
          <w:sz w:val="28"/>
          <w:szCs w:val="28"/>
        </w:rPr>
        <w:t>преступл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20E88">
        <w:rPr>
          <w:rFonts w:ascii="Times New Roman" w:hAnsi="Times New Roman"/>
          <w:sz w:val="28"/>
          <w:szCs w:val="28"/>
        </w:rPr>
        <w:t xml:space="preserve"> в частном секторе, в том числе посредством установления для юридич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>ских лиц уголовной ответственности за совершенные коррупционны</w:t>
      </w:r>
      <w:r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C20E88">
        <w:rPr>
          <w:rFonts w:ascii="Times New Roman" w:hAnsi="Times New Roman"/>
          <w:sz w:val="28"/>
          <w:szCs w:val="28"/>
        </w:rPr>
        <w:t>, недостаточно для решения проблемы коррупции в частном сект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>ре. Важно, чтобы и коммерческие организации брали на себя активную роль в создании культуры неподкупности и корпоративной прозра</w:t>
      </w:r>
      <w:r w:rsidRPr="00C20E88">
        <w:rPr>
          <w:rFonts w:ascii="Times New Roman" w:hAnsi="Times New Roman"/>
          <w:sz w:val="28"/>
          <w:szCs w:val="28"/>
        </w:rPr>
        <w:t>ч</w:t>
      </w:r>
      <w:r w:rsidRPr="00C20E88">
        <w:rPr>
          <w:rFonts w:ascii="Times New Roman" w:hAnsi="Times New Roman"/>
          <w:sz w:val="28"/>
          <w:szCs w:val="28"/>
        </w:rPr>
        <w:t xml:space="preserve">ности.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88">
        <w:rPr>
          <w:rFonts w:ascii="Times New Roman" w:hAnsi="Times New Roman"/>
          <w:sz w:val="28"/>
          <w:szCs w:val="28"/>
        </w:rPr>
        <w:t>Источником вдохновения для повышения этических стандартов и 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>поративной культуры может послужить международный стандарт ISO 37001:2016 «</w:t>
      </w:r>
      <w:r w:rsidRPr="00C20E88">
        <w:rPr>
          <w:rFonts w:ascii="Times New Roman" w:hAnsi="Times New Roman"/>
          <w:i/>
          <w:iCs/>
          <w:sz w:val="28"/>
          <w:szCs w:val="28"/>
        </w:rPr>
        <w:t>Системы менеджмента противодействия коррупции. Требов</w:t>
      </w:r>
      <w:r w:rsidRPr="00C20E88">
        <w:rPr>
          <w:rFonts w:ascii="Times New Roman" w:hAnsi="Times New Roman"/>
          <w:i/>
          <w:iCs/>
          <w:sz w:val="28"/>
          <w:szCs w:val="28"/>
        </w:rPr>
        <w:t>а</w:t>
      </w:r>
      <w:r w:rsidRPr="00C20E88">
        <w:rPr>
          <w:rFonts w:ascii="Times New Roman" w:hAnsi="Times New Roman"/>
          <w:i/>
          <w:iCs/>
          <w:sz w:val="28"/>
          <w:szCs w:val="28"/>
        </w:rPr>
        <w:t>ния и рекомендации по внедрению</w:t>
      </w:r>
      <w:r w:rsidRPr="00C20E88">
        <w:rPr>
          <w:rFonts w:ascii="Times New Roman" w:hAnsi="Times New Roman"/>
          <w:sz w:val="28"/>
          <w:szCs w:val="28"/>
        </w:rPr>
        <w:t xml:space="preserve">», предназначенный для поддержки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и коммерческих </w:t>
      </w:r>
      <w:r w:rsidRPr="00C20E88">
        <w:rPr>
          <w:rFonts w:ascii="Times New Roman" w:hAnsi="Times New Roman"/>
          <w:sz w:val="28"/>
          <w:szCs w:val="28"/>
        </w:rPr>
        <w:t>организаций в предотвращении связанных с ко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рупцией рисков/затрат/ущерба и управлении ими, а также для </w:t>
      </w:r>
      <w:r>
        <w:rPr>
          <w:rFonts w:ascii="Times New Roman" w:hAnsi="Times New Roman"/>
          <w:sz w:val="28"/>
          <w:szCs w:val="28"/>
        </w:rPr>
        <w:t>повышения</w:t>
      </w:r>
      <w:r w:rsidRPr="00C20E88">
        <w:rPr>
          <w:rFonts w:ascii="Times New Roman" w:hAnsi="Times New Roman"/>
          <w:sz w:val="28"/>
          <w:szCs w:val="28"/>
        </w:rPr>
        <w:t xml:space="preserve"> доверия к бизнесу и улучш</w:t>
      </w:r>
      <w:r w:rsidRPr="00C20E88">
        <w:rPr>
          <w:rFonts w:ascii="Times New Roman" w:hAnsi="Times New Roman"/>
          <w:sz w:val="28"/>
          <w:szCs w:val="28"/>
        </w:rPr>
        <w:t>е</w:t>
      </w:r>
      <w:r w:rsidRPr="00C20E88">
        <w:rPr>
          <w:rFonts w:ascii="Times New Roman" w:hAnsi="Times New Roman"/>
          <w:sz w:val="28"/>
          <w:szCs w:val="28"/>
        </w:rPr>
        <w:t xml:space="preserve">ния его репутации. 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Специфические задачи 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ц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ели устойчивого развития ООН № 16</w:t>
      </w:r>
      <w:r w:rsidRPr="004B29DF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>начительно сократить масштабы коррупции и взяточничества во всех их фо</w:t>
      </w:r>
      <w:r w:rsidRPr="00C20E88"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мах (16.5) </w:t>
      </w:r>
    </w:p>
    <w:p w:rsidR="0019475D" w:rsidRPr="00C20E88" w:rsidRDefault="0019475D" w:rsidP="001947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0E88">
        <w:rPr>
          <w:rFonts w:ascii="Times New Roman" w:hAnsi="Times New Roman"/>
          <w:sz w:val="28"/>
          <w:szCs w:val="28"/>
        </w:rPr>
        <w:t xml:space="preserve">начительно </w:t>
      </w:r>
      <w:r>
        <w:rPr>
          <w:rFonts w:ascii="Times New Roman" w:hAnsi="Times New Roman"/>
          <w:sz w:val="28"/>
          <w:szCs w:val="28"/>
        </w:rPr>
        <w:t>сократить</w:t>
      </w:r>
      <w:r w:rsidRPr="00C20E88">
        <w:rPr>
          <w:rFonts w:ascii="Times New Roman" w:hAnsi="Times New Roman"/>
          <w:sz w:val="28"/>
          <w:szCs w:val="28"/>
        </w:rPr>
        <w:t xml:space="preserve"> незаконные финансовые потоки [...], активиз</w:t>
      </w:r>
      <w:r w:rsidRPr="00C20E88"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>ровать деятельность по обнаружению и возв</w:t>
      </w:r>
      <w:r>
        <w:rPr>
          <w:rFonts w:ascii="Times New Roman" w:hAnsi="Times New Roman"/>
          <w:sz w:val="28"/>
          <w:szCs w:val="28"/>
        </w:rPr>
        <w:t>ращению похищенных активов</w:t>
      </w:r>
      <w:r w:rsidRPr="00C20E88">
        <w:rPr>
          <w:rFonts w:ascii="Times New Roman" w:hAnsi="Times New Roman"/>
          <w:sz w:val="28"/>
          <w:szCs w:val="28"/>
        </w:rPr>
        <w:t xml:space="preserve"> (16.4).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>Задача опор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ы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VII</w:t>
      </w:r>
      <w:r w:rsidRPr="004B29DF">
        <w:rPr>
          <w:rFonts w:ascii="Times New Roman" w:hAnsi="Times New Roman"/>
          <w:iCs/>
          <w:color w:val="002060"/>
          <w:sz w:val="28"/>
          <w:szCs w:val="28"/>
        </w:rPr>
        <w:t>:</w:t>
      </w: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t xml:space="preserve"> </w:t>
      </w:r>
      <w:r w:rsidRPr="00C20E88">
        <w:rPr>
          <w:rFonts w:ascii="Times New Roman" w:hAnsi="Times New Roman"/>
          <w:sz w:val="28"/>
          <w:szCs w:val="28"/>
        </w:rPr>
        <w:t>Поощрение конкурентоспособной и корректной пре</w:t>
      </w:r>
      <w:r w:rsidRPr="00C20E88">
        <w:rPr>
          <w:rFonts w:ascii="Times New Roman" w:hAnsi="Times New Roman"/>
          <w:sz w:val="28"/>
          <w:szCs w:val="28"/>
        </w:rPr>
        <w:t>д</w:t>
      </w:r>
      <w:r w:rsidRPr="00C20E88">
        <w:rPr>
          <w:rFonts w:ascii="Times New Roman" w:hAnsi="Times New Roman"/>
          <w:sz w:val="28"/>
          <w:szCs w:val="28"/>
        </w:rPr>
        <w:t>принимательской среды, основанной на стандартах корпоративной неподку</w:t>
      </w:r>
      <w:r w:rsidRPr="00C20E88">
        <w:rPr>
          <w:rFonts w:ascii="Times New Roman" w:hAnsi="Times New Roman"/>
          <w:sz w:val="28"/>
          <w:szCs w:val="28"/>
        </w:rPr>
        <w:t>п</w:t>
      </w:r>
      <w:r w:rsidRPr="00C20E88">
        <w:rPr>
          <w:rFonts w:ascii="Times New Roman" w:hAnsi="Times New Roman"/>
          <w:sz w:val="28"/>
          <w:szCs w:val="28"/>
        </w:rPr>
        <w:t>ности, прозрачности и профессионализма во взаимодействии с публичным сектором;</w:t>
      </w:r>
    </w:p>
    <w:p w:rsidR="0019475D" w:rsidRPr="00C20E88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9475D" w:rsidRPr="00C20E88" w:rsidRDefault="0019475D" w:rsidP="00194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20E88">
        <w:rPr>
          <w:rFonts w:ascii="Times New Roman" w:hAnsi="Times New Roman"/>
          <w:i/>
          <w:iCs/>
          <w:color w:val="002060"/>
          <w:sz w:val="28"/>
          <w:szCs w:val="28"/>
        </w:rPr>
        <w:lastRenderedPageBreak/>
        <w:t>Показатели воздействия</w:t>
      </w:r>
      <w:r w:rsidRPr="004B29DF">
        <w:rPr>
          <w:rFonts w:ascii="Times New Roman" w:hAnsi="Times New Roman"/>
          <w:iCs/>
          <w:color w:val="002060"/>
          <w:sz w:val="28"/>
          <w:szCs w:val="28"/>
        </w:rPr>
        <w:t>: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20E88">
        <w:rPr>
          <w:rFonts w:ascii="Times New Roman" w:hAnsi="Times New Roman"/>
          <w:sz w:val="28"/>
          <w:szCs w:val="28"/>
        </w:rPr>
        <w:t xml:space="preserve">иски </w:t>
      </w:r>
      <w:r>
        <w:rPr>
          <w:rFonts w:ascii="Times New Roman" w:hAnsi="Times New Roman"/>
          <w:sz w:val="28"/>
          <w:szCs w:val="28"/>
        </w:rPr>
        <w:t>к</w:t>
      </w:r>
      <w:r w:rsidRPr="00C20E88">
        <w:rPr>
          <w:rFonts w:ascii="Times New Roman" w:hAnsi="Times New Roman"/>
          <w:sz w:val="28"/>
          <w:szCs w:val="28"/>
        </w:rPr>
        <w:t>оррупци</w:t>
      </w:r>
      <w:r>
        <w:rPr>
          <w:rFonts w:ascii="Times New Roman" w:hAnsi="Times New Roman"/>
          <w:sz w:val="28"/>
          <w:szCs w:val="28"/>
        </w:rPr>
        <w:t>и</w:t>
      </w:r>
      <w:r w:rsidRPr="00C20E88">
        <w:rPr>
          <w:rFonts w:ascii="Times New Roman" w:hAnsi="Times New Roman"/>
          <w:sz w:val="28"/>
          <w:szCs w:val="28"/>
        </w:rPr>
        <w:t xml:space="preserve"> снижены, уровень взяточничества в частном сект</w:t>
      </w:r>
      <w:r w:rsidRPr="00C20E88"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ре сокращен </w:t>
      </w:r>
    </w:p>
    <w:p w:rsidR="0019475D" w:rsidRPr="00C20E88" w:rsidRDefault="0019475D" w:rsidP="001947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0E88">
        <w:rPr>
          <w:rFonts w:ascii="Times New Roman" w:hAnsi="Times New Roman"/>
          <w:sz w:val="28"/>
          <w:szCs w:val="28"/>
        </w:rPr>
        <w:t xml:space="preserve">беспечена независимость предпринимательской деятельности от коррупции </w:t>
      </w:r>
    </w:p>
    <w:p w:rsidR="0019475D" w:rsidRPr="004C2CD7" w:rsidRDefault="0019475D" w:rsidP="001947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20E88">
        <w:rPr>
          <w:rFonts w:ascii="Times New Roman" w:hAnsi="Times New Roman"/>
          <w:sz w:val="28"/>
          <w:szCs w:val="28"/>
        </w:rPr>
        <w:t>ровень риска отмывания денег снижен.</w:t>
      </w:r>
    </w:p>
    <w:p w:rsidR="0019475D" w:rsidRDefault="0019475D" w:rsidP="0019475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19475D" w:rsidRPr="00EB253F" w:rsidTr="00630767">
        <w:trPr>
          <w:trHeight w:val="275"/>
        </w:trPr>
        <w:tc>
          <w:tcPr>
            <w:tcW w:w="32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/>
            </w:tcBorders>
            <w:shd w:val="clear" w:color="auto" w:fill="002060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Приоритеты опор</w:t>
            </w:r>
            <w:r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ы</w:t>
            </w: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 xml:space="preserve"> VII</w:t>
            </w: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shd w:val="clear" w:color="auto" w:fill="002060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002060"/>
              <w:left w:val="single" w:sz="4" w:space="0" w:color="FFFFFF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19475D" w:rsidRPr="00EB253F" w:rsidRDefault="0019475D" w:rsidP="0063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i/>
                <w:iCs/>
                <w:color w:val="FFFFFF"/>
                <w:sz w:val="24"/>
                <w:szCs w:val="24"/>
              </w:rPr>
              <w:t>Показатели результата</w:t>
            </w:r>
          </w:p>
        </w:tc>
      </w:tr>
      <w:tr w:rsidR="0019475D" w:rsidRPr="00EB253F" w:rsidTr="00630767">
        <w:trPr>
          <w:trHeight w:val="1697"/>
        </w:trPr>
        <w:tc>
          <w:tcPr>
            <w:tcW w:w="3227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VII.1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Прозрачность частн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го сектора в отношениях с пу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личным сектором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Предотвращение продвижения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зяйствующих субъектов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, связанных с представит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лями публичной и политической среды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мерческих отношениях с государством: </w:t>
            </w:r>
            <w:proofErr w:type="spellStart"/>
            <w:r w:rsidRPr="00EB253F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партнерст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в области 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цессий, приватизаций, государственных зак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пок 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Предотвращение отм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вания денег,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 коррупци</w:t>
            </w:r>
            <w:r>
              <w:rPr>
                <w:rFonts w:ascii="Times New Roman" w:hAnsi="Times New Roman"/>
                <w:sz w:val="24"/>
                <w:szCs w:val="24"/>
              </w:rPr>
              <w:t>онным путем</w:t>
            </w:r>
          </w:p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Содействие возвращ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нию имущества, пол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результате коррупц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преступлений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6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Проведенные журн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стские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/уголовные расследования в отн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шении </w:t>
            </w:r>
            <w:proofErr w:type="spellStart"/>
            <w:r w:rsidRPr="00EB253F">
              <w:rPr>
                <w:rFonts w:ascii="Times New Roman" w:hAnsi="Times New Roman"/>
                <w:sz w:val="24"/>
                <w:szCs w:val="24"/>
              </w:rPr>
              <w:t>выгодоприобр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тающих</w:t>
            </w:r>
            <w:proofErr w:type="spellEnd"/>
            <w:r w:rsidRPr="00EB253F">
              <w:rPr>
                <w:rFonts w:ascii="Times New Roman" w:hAnsi="Times New Roman"/>
                <w:sz w:val="24"/>
                <w:szCs w:val="24"/>
              </w:rPr>
              <w:t xml:space="preserve"> собственников в публичной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B253F">
              <w:rPr>
                <w:rFonts w:ascii="Times New Roman" w:hAnsi="Times New Roman"/>
                <w:sz w:val="24"/>
                <w:szCs w:val="24"/>
              </w:rPr>
              <w:t>политичес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EB253F">
              <w:rPr>
                <w:rFonts w:ascii="Times New Roman" w:hAnsi="Times New Roman"/>
                <w:sz w:val="24"/>
                <w:szCs w:val="24"/>
              </w:rPr>
              <w:t xml:space="preserve"> среде </w:t>
            </w:r>
            <w:proofErr w:type="spellStart"/>
            <w:r w:rsidRPr="00EB253F">
              <w:rPr>
                <w:rFonts w:ascii="Times New Roman" w:hAnsi="Times New Roman"/>
                <w:sz w:val="24"/>
                <w:szCs w:val="24"/>
              </w:rPr>
              <w:t>частн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нерств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в области ко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цессий, приватизаций, государственных зак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пок 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., и наложенные взыск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9475D" w:rsidRPr="00EB253F" w:rsidTr="00630767">
        <w:trPr>
          <w:trHeight w:val="991"/>
        </w:trPr>
        <w:tc>
          <w:tcPr>
            <w:tcW w:w="3227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VII.2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9777A2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F821F5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н</w:t>
            </w:r>
            <w:r w:rsidRPr="00C55D4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д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купност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 xml:space="preserve"> в деятельности предприятий с полным или преимущественно госуда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р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ственным/муниципальным к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D47">
              <w:rPr>
                <w:rFonts w:ascii="Times New Roman" w:hAnsi="Times New Roman"/>
                <w:sz w:val="24"/>
                <w:szCs w:val="24"/>
              </w:rPr>
              <w:t>питалом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Предотвращение пр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движения частных инт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ресов ответственных должностных лиц в рамках предприятий </w:t>
            </w:r>
            <w:r w:rsidRPr="00EB253F">
              <w:rPr>
                <w:rFonts w:ascii="Times New Roman" w:hAnsi="Times New Roman"/>
                <w:sz w:val="24"/>
              </w:rPr>
              <w:t>с полн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EB253F">
              <w:rPr>
                <w:rFonts w:ascii="Times New Roman" w:hAnsi="Times New Roman"/>
                <w:sz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</w:rPr>
              <w:t>преимущ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ственно</w:t>
            </w:r>
            <w:r w:rsidRPr="00EB253F">
              <w:rPr>
                <w:rFonts w:ascii="Times New Roman" w:hAnsi="Times New Roman"/>
                <w:sz w:val="24"/>
              </w:rPr>
              <w:t xml:space="preserve"> государств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ным</w:t>
            </w:r>
            <w:r w:rsidRPr="00EB253F">
              <w:rPr>
                <w:rFonts w:ascii="Times New Roman" w:hAnsi="Times New Roman"/>
                <w:sz w:val="24"/>
              </w:rPr>
              <w:t>/муниципальн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EB2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питалом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, находящихся под контролем публи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ч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, которыми они руководят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Улучшенные показат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ли рентабельности предприятий с полн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преимущественно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/муниципальн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ым капиталом</w:t>
            </w:r>
          </w:p>
        </w:tc>
      </w:tr>
      <w:tr w:rsidR="0019475D" w:rsidRPr="00EB253F" w:rsidTr="00630767">
        <w:trPr>
          <w:trHeight w:val="699"/>
        </w:trPr>
        <w:tc>
          <w:tcPr>
            <w:tcW w:w="3227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</w:tcPr>
          <w:p w:rsidR="0019475D" w:rsidRPr="00EB253F" w:rsidRDefault="0019475D" w:rsidP="0063076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VII.3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EB25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t>Обеспечение свобо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ной, корректной и честной конкурентной среды для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lastRenderedPageBreak/>
              <w:t>частного сектора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9475D" w:rsidRPr="00EB253F" w:rsidRDefault="0019475D" w:rsidP="00630767">
            <w:pPr>
              <w:numPr>
                <w:ilvl w:val="0"/>
                <w:numId w:val="5"/>
              </w:numPr>
              <w:tabs>
                <w:tab w:val="left" w:pos="335"/>
              </w:tabs>
              <w:spacing w:after="120" w:line="240" w:lineRule="auto"/>
              <w:ind w:left="342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3F">
              <w:rPr>
                <w:rFonts w:ascii="Times New Roman" w:hAnsi="Times New Roman"/>
                <w:sz w:val="24"/>
                <w:szCs w:val="24"/>
              </w:rPr>
              <w:lastRenderedPageBreak/>
              <w:t>Взыскания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римене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 xml:space="preserve">ные к представителям деловой </w:t>
            </w:r>
            <w:r w:rsidRPr="00EB253F">
              <w:rPr>
                <w:rFonts w:ascii="Times New Roman" w:hAnsi="Times New Roman"/>
                <w:sz w:val="24"/>
                <w:szCs w:val="24"/>
              </w:rPr>
              <w:lastRenderedPageBreak/>
              <w:t>среды за акти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в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ное коррумпирование, дачу и получение вз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ток, извлечение выгоды из влияния и злоуп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53F">
              <w:rPr>
                <w:rFonts w:ascii="Times New Roman" w:hAnsi="Times New Roman"/>
                <w:sz w:val="24"/>
                <w:szCs w:val="24"/>
              </w:rPr>
              <w:t>треблени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19475D" w:rsidRPr="0019475D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Раздел IV</w:t>
      </w:r>
    </w:p>
    <w:p w:rsidR="0019475D" w:rsidRPr="004C2CD7" w:rsidRDefault="0019475D" w:rsidP="001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7" w:name="_Toc461605389"/>
      <w:bookmarkStart w:id="38" w:name="_Toc461615130"/>
      <w:bookmarkStart w:id="39" w:name="_Toc461615147"/>
      <w:bookmarkStart w:id="40" w:name="_Toc461617292"/>
      <w:bookmarkStart w:id="41" w:name="_Toc461617393"/>
      <w:bookmarkStart w:id="42" w:name="_Toc468129273"/>
      <w:r w:rsidRPr="009E7C9E">
        <w:rPr>
          <w:rFonts w:ascii="Times New Roman" w:hAnsi="Times New Roman"/>
          <w:b/>
          <w:bCs/>
          <w:sz w:val="28"/>
          <w:szCs w:val="28"/>
        </w:rPr>
        <w:t>ПРЕДПОСЫЛКИ ЭФФЕКТИВНО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9E7C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bookmarkEnd w:id="7"/>
      <w:bookmarkEnd w:id="37"/>
      <w:bookmarkEnd w:id="38"/>
      <w:bookmarkEnd w:id="39"/>
      <w:bookmarkEnd w:id="40"/>
      <w:bookmarkEnd w:id="41"/>
      <w:bookmarkEnd w:id="42"/>
    </w:p>
    <w:p w:rsidR="0019475D" w:rsidRPr="0019475D" w:rsidRDefault="0019475D" w:rsidP="0019475D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9475D" w:rsidRPr="009E7C9E" w:rsidRDefault="0019475D" w:rsidP="0019475D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Э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ффективн</w:t>
      </w:r>
      <w:r>
        <w:rPr>
          <w:rFonts w:ascii="Times New Roman" w:hAnsi="Times New Roman"/>
          <w:b w:val="0"/>
          <w:bCs w:val="0"/>
          <w:sz w:val="28"/>
          <w:szCs w:val="28"/>
        </w:rPr>
        <w:t>ая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реализация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Стратегии </w:t>
      </w:r>
      <w:r>
        <w:rPr>
          <w:rFonts w:ascii="Times New Roman" w:hAnsi="Times New Roman"/>
          <w:b w:val="0"/>
          <w:bCs w:val="0"/>
          <w:sz w:val="28"/>
          <w:szCs w:val="28"/>
        </w:rPr>
        <w:t>предполагает наличие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определе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ных предпосылок. Предыдущий программный документ НАС 2011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2016 предусматривал пять таких предпосылок, однако оценка его </w:t>
      </w:r>
      <w:r>
        <w:rPr>
          <w:rFonts w:ascii="Times New Roman" w:hAnsi="Times New Roman"/>
          <w:b w:val="0"/>
          <w:bCs w:val="0"/>
          <w:sz w:val="28"/>
          <w:szCs w:val="28"/>
        </w:rPr>
        <w:t>реализации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пок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зала, что большинство предпосылок не </w:t>
      </w:r>
      <w:r>
        <w:rPr>
          <w:rFonts w:ascii="Times New Roman" w:hAnsi="Times New Roman"/>
          <w:b w:val="0"/>
          <w:bCs w:val="0"/>
          <w:sz w:val="28"/>
          <w:szCs w:val="28"/>
        </w:rPr>
        <w:t>работало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: не всегда проявлялась политическая воля, некоторые нормативные акты не были </w:t>
      </w:r>
      <w:proofErr w:type="gramStart"/>
      <w:r w:rsidRPr="009E7C9E">
        <w:rPr>
          <w:rFonts w:ascii="Times New Roman" w:hAnsi="Times New Roman"/>
          <w:b w:val="0"/>
          <w:bCs w:val="0"/>
          <w:sz w:val="28"/>
          <w:szCs w:val="28"/>
        </w:rPr>
        <w:t>утвержд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>ны</w:t>
      </w:r>
      <w:proofErr w:type="gramEnd"/>
      <w:r w:rsidRPr="009E7C9E">
        <w:rPr>
          <w:rFonts w:ascii="Times New Roman" w:hAnsi="Times New Roman"/>
          <w:b w:val="0"/>
          <w:bCs w:val="0"/>
          <w:sz w:val="28"/>
          <w:szCs w:val="28"/>
        </w:rPr>
        <w:t>/приняты, не был осуществлен парламентский контроль; эффективн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ая 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реализация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также не был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обеспечен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полностью, значительная часть органов, участвовавших в </w:t>
      </w:r>
      <w:r>
        <w:rPr>
          <w:rFonts w:ascii="Times New Roman" w:hAnsi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>ализации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, продемонстрировала формальный подход; </w:t>
      </w: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ибкость подхода также не была обеспечена в полной мере, а финансовое обеспечение </w:t>
      </w:r>
      <w:r>
        <w:rPr>
          <w:rFonts w:ascii="Times New Roman" w:hAnsi="Times New Roman"/>
          <w:b w:val="0"/>
          <w:bCs w:val="0"/>
          <w:sz w:val="28"/>
          <w:szCs w:val="28"/>
        </w:rPr>
        <w:t>стало слабым местом реализации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 НАС 2011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9E7C9E">
        <w:rPr>
          <w:rFonts w:ascii="Times New Roman" w:hAnsi="Times New Roman"/>
          <w:b w:val="0"/>
          <w:bCs w:val="0"/>
          <w:sz w:val="28"/>
          <w:szCs w:val="28"/>
        </w:rPr>
        <w:t xml:space="preserve">2016.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Другой проблемой, выявленной в процессе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антикоррупц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онного программного документа, стало заимствование ряда мер, запланир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ванных в рамках </w:t>
      </w:r>
      <w:r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>тратегии, другими программными документами, в частн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сти документами из сферы реформы сектора юстиции и реформы публичного управления, с сохранением разницы в сроках, ответственных лицах и показ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телях. Эти несогласованные повторения привели к путанице и местами даже дискредитировали процесс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предусмотренных мер. В итоге некоторые мер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 остались </w:t>
      </w:r>
      <w:r>
        <w:rPr>
          <w:rFonts w:ascii="Times New Roman" w:hAnsi="Times New Roman"/>
          <w:sz w:val="28"/>
          <w:szCs w:val="28"/>
        </w:rPr>
        <w:t>нереализованными</w:t>
      </w:r>
      <w:r w:rsidRPr="009E7C9E">
        <w:rPr>
          <w:rFonts w:ascii="Times New Roman" w:hAnsi="Times New Roman"/>
          <w:sz w:val="28"/>
          <w:szCs w:val="28"/>
        </w:rPr>
        <w:t xml:space="preserve"> в рамках всех этих страт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гий.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Исходя из опыта </w:t>
      </w:r>
      <w:r>
        <w:rPr>
          <w:rFonts w:ascii="Times New Roman" w:hAnsi="Times New Roman"/>
          <w:sz w:val="28"/>
          <w:szCs w:val="28"/>
        </w:rPr>
        <w:t>применения</w:t>
      </w:r>
      <w:r w:rsidRPr="009E7C9E">
        <w:rPr>
          <w:rFonts w:ascii="Times New Roman" w:hAnsi="Times New Roman"/>
          <w:sz w:val="28"/>
          <w:szCs w:val="28"/>
        </w:rPr>
        <w:t xml:space="preserve"> предыдущих стратегий,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настоящей Стратегии необходимо принять и соблюсти следующие предп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сылки: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Стабильность и политическая воля.</w:t>
      </w:r>
      <w:r w:rsidRPr="009E7C9E">
        <w:rPr>
          <w:rFonts w:ascii="Times New Roman" w:hAnsi="Times New Roman"/>
          <w:sz w:val="28"/>
          <w:szCs w:val="28"/>
        </w:rPr>
        <w:t xml:space="preserve"> Большое влияние на деятел</w:t>
      </w:r>
      <w:r w:rsidRPr="009E7C9E">
        <w:rPr>
          <w:rFonts w:ascii="Times New Roman" w:hAnsi="Times New Roman"/>
          <w:sz w:val="28"/>
          <w:szCs w:val="28"/>
        </w:rPr>
        <w:t>ь</w:t>
      </w:r>
      <w:r w:rsidRPr="009E7C9E">
        <w:rPr>
          <w:rFonts w:ascii="Times New Roman" w:hAnsi="Times New Roman"/>
          <w:sz w:val="28"/>
          <w:szCs w:val="28"/>
        </w:rPr>
        <w:t>ность по предотвращению коррупции и по борьбе с ней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E7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следствие,</w:t>
      </w:r>
      <w:r w:rsidRPr="009E7C9E">
        <w:rPr>
          <w:rFonts w:ascii="Times New Roman" w:hAnsi="Times New Roman"/>
          <w:sz w:val="28"/>
          <w:szCs w:val="28"/>
        </w:rPr>
        <w:t xml:space="preserve"> на восприятие гражданами масштабов </w:t>
      </w:r>
      <w:r>
        <w:rPr>
          <w:rFonts w:ascii="Times New Roman" w:hAnsi="Times New Roman"/>
          <w:sz w:val="28"/>
          <w:szCs w:val="28"/>
        </w:rPr>
        <w:t>явления</w:t>
      </w:r>
      <w:r w:rsidRPr="009E7C9E">
        <w:rPr>
          <w:rFonts w:ascii="Times New Roman" w:hAnsi="Times New Roman"/>
          <w:sz w:val="28"/>
          <w:szCs w:val="28"/>
        </w:rPr>
        <w:t>, оказывают события, происход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>щие в политическом пространстве. Постоянные, но непоследовательные р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структуризации антикоррупционных </w:t>
      </w:r>
      <w:r>
        <w:rPr>
          <w:rFonts w:ascii="Times New Roman" w:hAnsi="Times New Roman"/>
          <w:sz w:val="28"/>
          <w:szCs w:val="28"/>
        </w:rPr>
        <w:t>органов</w:t>
      </w:r>
      <w:r w:rsidRPr="009E7C9E">
        <w:rPr>
          <w:rFonts w:ascii="Times New Roman" w:hAnsi="Times New Roman"/>
          <w:sz w:val="28"/>
          <w:szCs w:val="28"/>
        </w:rPr>
        <w:t xml:space="preserve"> и нормативной базы их деятел</w:t>
      </w:r>
      <w:r w:rsidRPr="009E7C9E">
        <w:rPr>
          <w:rFonts w:ascii="Times New Roman" w:hAnsi="Times New Roman"/>
          <w:sz w:val="28"/>
          <w:szCs w:val="28"/>
        </w:rPr>
        <w:t>ь</w:t>
      </w:r>
      <w:r w:rsidRPr="009E7C9E">
        <w:rPr>
          <w:rFonts w:ascii="Times New Roman" w:hAnsi="Times New Roman"/>
          <w:sz w:val="28"/>
          <w:szCs w:val="28"/>
        </w:rPr>
        <w:t>ности демонстрируют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что политическое влияние </w:t>
      </w:r>
      <w:r>
        <w:rPr>
          <w:rFonts w:ascii="Times New Roman" w:hAnsi="Times New Roman"/>
          <w:sz w:val="28"/>
          <w:szCs w:val="28"/>
        </w:rPr>
        <w:t>серьезно отразилось</w:t>
      </w:r>
      <w:r w:rsidRPr="009E7C9E">
        <w:rPr>
          <w:rFonts w:ascii="Times New Roman" w:hAnsi="Times New Roman"/>
          <w:sz w:val="28"/>
          <w:szCs w:val="28"/>
        </w:rPr>
        <w:t xml:space="preserve"> на функциональности данных учреждений и постоянно порождало недоверие к ним со стороны граждан, в том числе ставя под сомнение неподкупность тех, кто призван противостоять корру</w:t>
      </w:r>
      <w:r w:rsidRPr="009E7C9E"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ции. </w:t>
      </w:r>
      <w:proofErr w:type="gramStart"/>
      <w:r w:rsidRPr="009E7C9E">
        <w:rPr>
          <w:rFonts w:ascii="Times New Roman" w:hAnsi="Times New Roman"/>
          <w:sz w:val="28"/>
          <w:szCs w:val="28"/>
        </w:rPr>
        <w:t xml:space="preserve">С данной </w:t>
      </w:r>
      <w:r w:rsidRPr="009E7C9E">
        <w:rPr>
          <w:rFonts w:ascii="Times New Roman" w:hAnsi="Times New Roman"/>
          <w:sz w:val="28"/>
          <w:szCs w:val="28"/>
        </w:rPr>
        <w:lastRenderedPageBreak/>
        <w:t xml:space="preserve">точки зрения важно, чтобы любые влияния политики на антикоррупционные </w:t>
      </w:r>
      <w:r>
        <w:rPr>
          <w:rFonts w:ascii="Times New Roman" w:hAnsi="Times New Roman"/>
          <w:sz w:val="28"/>
          <w:szCs w:val="28"/>
        </w:rPr>
        <w:t>органы</w:t>
      </w:r>
      <w:r w:rsidRPr="009E7C9E">
        <w:rPr>
          <w:rFonts w:ascii="Times New Roman" w:hAnsi="Times New Roman"/>
          <w:sz w:val="28"/>
          <w:szCs w:val="28"/>
        </w:rPr>
        <w:t xml:space="preserve"> были устранены, а политическая воля проявлялась бы только на этапе принятия актов, необход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мых для обеспечения эффективности и надежности национальной системы по неподкупности и борьбе с коррупцией, а также на этапе осуществления парламен</w:t>
      </w:r>
      <w:r w:rsidRPr="009E7C9E">
        <w:rPr>
          <w:rFonts w:ascii="Times New Roman" w:hAnsi="Times New Roman"/>
          <w:sz w:val="28"/>
          <w:szCs w:val="28"/>
        </w:rPr>
        <w:t>т</w:t>
      </w:r>
      <w:r w:rsidRPr="009E7C9E">
        <w:rPr>
          <w:rFonts w:ascii="Times New Roman" w:hAnsi="Times New Roman"/>
          <w:sz w:val="28"/>
          <w:szCs w:val="28"/>
        </w:rPr>
        <w:t>ского контроля за исполнением законов и принуждения органов власти к надлежащему их прим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нению.</w:t>
      </w:r>
      <w:proofErr w:type="gramEnd"/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Финансовое обеспечение. </w:t>
      </w:r>
      <w:r>
        <w:rPr>
          <w:rFonts w:ascii="Times New Roman" w:hAnsi="Times New Roman"/>
          <w:bCs/>
          <w:iCs/>
          <w:sz w:val="28"/>
          <w:szCs w:val="28"/>
        </w:rPr>
        <w:t>Реализация</w:t>
      </w:r>
      <w:r w:rsidRPr="009E7C9E">
        <w:rPr>
          <w:rFonts w:ascii="Times New Roman" w:hAnsi="Times New Roman"/>
          <w:sz w:val="28"/>
          <w:szCs w:val="28"/>
        </w:rPr>
        <w:t xml:space="preserve"> программных документов </w:t>
      </w:r>
      <w:r>
        <w:rPr>
          <w:rFonts w:ascii="Times New Roman" w:hAnsi="Times New Roman"/>
          <w:sz w:val="28"/>
          <w:szCs w:val="28"/>
        </w:rPr>
        <w:t>предполагает</w:t>
      </w:r>
      <w:r w:rsidRPr="009E7C9E">
        <w:rPr>
          <w:rFonts w:ascii="Times New Roman" w:hAnsi="Times New Roman"/>
          <w:sz w:val="28"/>
          <w:szCs w:val="28"/>
        </w:rPr>
        <w:t xml:space="preserve"> определенные расходы. Отсутствие финансовой поддержки для покрытия расходов, связанных с мерами, предусматриваемыми настоящей Страт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гией, может отрицательно повлиять на ее эффективность, выполнение </w:t>
      </w:r>
      <w:r>
        <w:rPr>
          <w:rFonts w:ascii="Times New Roman" w:hAnsi="Times New Roman"/>
          <w:sz w:val="28"/>
          <w:szCs w:val="28"/>
        </w:rPr>
        <w:t>поставленных</w:t>
      </w:r>
      <w:r w:rsidRPr="009E7C9E">
        <w:rPr>
          <w:rFonts w:ascii="Times New Roman" w:hAnsi="Times New Roman"/>
          <w:sz w:val="28"/>
          <w:szCs w:val="28"/>
        </w:rPr>
        <w:t xml:space="preserve"> задач и </w:t>
      </w:r>
      <w:r>
        <w:rPr>
          <w:rFonts w:ascii="Times New Roman" w:hAnsi="Times New Roman"/>
          <w:sz w:val="28"/>
          <w:szCs w:val="28"/>
        </w:rPr>
        <w:t xml:space="preserve">достижение </w:t>
      </w:r>
      <w:r w:rsidRPr="009E7C9E">
        <w:rPr>
          <w:rFonts w:ascii="Times New Roman" w:hAnsi="Times New Roman"/>
          <w:sz w:val="28"/>
          <w:szCs w:val="28"/>
        </w:rPr>
        <w:t>ожидаемы</w:t>
      </w:r>
      <w:r>
        <w:rPr>
          <w:rFonts w:ascii="Times New Roman" w:hAnsi="Times New Roman"/>
          <w:sz w:val="28"/>
          <w:szCs w:val="28"/>
        </w:rPr>
        <w:t>х</w:t>
      </w:r>
      <w:r w:rsidRPr="009E7C9E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9E7C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почему</w:t>
      </w:r>
      <w:r w:rsidRPr="009E7C9E">
        <w:rPr>
          <w:rFonts w:ascii="Times New Roman" w:hAnsi="Times New Roman"/>
          <w:sz w:val="28"/>
          <w:szCs w:val="28"/>
        </w:rPr>
        <w:t xml:space="preserve"> ва</w:t>
      </w:r>
      <w:r w:rsidRPr="009E7C9E">
        <w:rPr>
          <w:rFonts w:ascii="Times New Roman" w:hAnsi="Times New Roman"/>
          <w:sz w:val="28"/>
          <w:szCs w:val="28"/>
        </w:rPr>
        <w:t>ж</w:t>
      </w:r>
      <w:r w:rsidRPr="009E7C9E">
        <w:rPr>
          <w:rFonts w:ascii="Times New Roman" w:hAnsi="Times New Roman"/>
          <w:sz w:val="28"/>
          <w:szCs w:val="28"/>
        </w:rPr>
        <w:t>но обеспечить достаточный объем финансовых средств, определенных и утве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 xml:space="preserve">жденных в составе собственного бюджета каждого учреждения, а также привлечь </w:t>
      </w:r>
      <w:r>
        <w:rPr>
          <w:rFonts w:ascii="Times New Roman" w:hAnsi="Times New Roman"/>
          <w:sz w:val="28"/>
          <w:szCs w:val="28"/>
        </w:rPr>
        <w:t xml:space="preserve">финансовую </w:t>
      </w:r>
      <w:r w:rsidRPr="009E7C9E">
        <w:rPr>
          <w:rFonts w:ascii="Times New Roman" w:hAnsi="Times New Roman"/>
          <w:sz w:val="28"/>
          <w:szCs w:val="28"/>
        </w:rPr>
        <w:t>поддержку из других источников, разрешенных зак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ном. </w:t>
      </w:r>
    </w:p>
    <w:p w:rsidR="0019475D" w:rsidRPr="009E7C9E" w:rsidRDefault="0019475D" w:rsidP="00194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75D" w:rsidRPr="009E7C9E" w:rsidRDefault="0019475D" w:rsidP="001947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Принятие ответственности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опорными </w:t>
      </w: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учреждениями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7C9E">
        <w:rPr>
          <w:rFonts w:ascii="Times New Roman" w:hAnsi="Times New Roman"/>
          <w:sz w:val="28"/>
          <w:szCs w:val="28"/>
        </w:rPr>
        <w:t>Одновр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менно с утверждением Стратегии Парламент, Правительство и </w:t>
      </w:r>
      <w:r>
        <w:rPr>
          <w:rFonts w:ascii="Times New Roman" w:hAnsi="Times New Roman"/>
          <w:sz w:val="28"/>
          <w:szCs w:val="28"/>
        </w:rPr>
        <w:t>МОПВ,</w:t>
      </w:r>
      <w:r w:rsidRPr="009E7C9E">
        <w:rPr>
          <w:rFonts w:ascii="Times New Roman" w:hAnsi="Times New Roman"/>
          <w:sz w:val="28"/>
          <w:szCs w:val="28"/>
        </w:rPr>
        <w:t xml:space="preserve"> суде</w:t>
      </w:r>
      <w:r w:rsidRPr="009E7C9E">
        <w:rPr>
          <w:rFonts w:ascii="Times New Roman" w:hAnsi="Times New Roman"/>
          <w:sz w:val="28"/>
          <w:szCs w:val="28"/>
        </w:rPr>
        <w:t>б</w:t>
      </w:r>
      <w:r w:rsidRPr="009E7C9E">
        <w:rPr>
          <w:rFonts w:ascii="Times New Roman" w:hAnsi="Times New Roman"/>
          <w:sz w:val="28"/>
          <w:szCs w:val="28"/>
        </w:rPr>
        <w:t xml:space="preserve">ная власть и антикоррупционные </w:t>
      </w:r>
      <w:r>
        <w:rPr>
          <w:rFonts w:ascii="Times New Roman" w:hAnsi="Times New Roman"/>
          <w:sz w:val="28"/>
          <w:szCs w:val="28"/>
        </w:rPr>
        <w:t>органы</w:t>
      </w:r>
      <w:r w:rsidRPr="009E7C9E">
        <w:rPr>
          <w:rFonts w:ascii="Times New Roman" w:hAnsi="Times New Roman"/>
          <w:sz w:val="28"/>
          <w:szCs w:val="28"/>
        </w:rPr>
        <w:t>, Центральная избирательная коми</w:t>
      </w:r>
      <w:r w:rsidRPr="009E7C9E"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 xml:space="preserve">сия, Счетная палата и </w:t>
      </w:r>
      <w:r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>ародный адвокат должны взять на себя обяз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тельство по активному содействию реализации цели и задач Стратегии. Ва</w:t>
      </w:r>
      <w:r w:rsidRPr="009E7C9E">
        <w:rPr>
          <w:rFonts w:ascii="Times New Roman" w:hAnsi="Times New Roman"/>
          <w:sz w:val="28"/>
          <w:szCs w:val="28"/>
        </w:rPr>
        <w:t>ж</w:t>
      </w:r>
      <w:r w:rsidRPr="009E7C9E">
        <w:rPr>
          <w:rFonts w:ascii="Times New Roman" w:hAnsi="Times New Roman"/>
          <w:sz w:val="28"/>
          <w:szCs w:val="28"/>
        </w:rPr>
        <w:t>но, чтобы каждое опор</w:t>
      </w:r>
      <w:r>
        <w:rPr>
          <w:rFonts w:ascii="Times New Roman" w:hAnsi="Times New Roman"/>
          <w:sz w:val="28"/>
          <w:szCs w:val="28"/>
        </w:rPr>
        <w:t>ное</w:t>
      </w:r>
      <w:r w:rsidRPr="009E7C9E">
        <w:rPr>
          <w:rFonts w:ascii="Times New Roman" w:hAnsi="Times New Roman"/>
          <w:sz w:val="28"/>
          <w:szCs w:val="28"/>
        </w:rPr>
        <w:t xml:space="preserve"> учреждение в соответствии со своими функциональными компетенциями </w:t>
      </w:r>
      <w:r>
        <w:rPr>
          <w:rFonts w:ascii="Times New Roman" w:hAnsi="Times New Roman"/>
          <w:sz w:val="28"/>
          <w:szCs w:val="28"/>
        </w:rPr>
        <w:t>оказывало</w:t>
      </w:r>
      <w:r w:rsidRPr="009E7C9E">
        <w:rPr>
          <w:rFonts w:ascii="Times New Roman" w:hAnsi="Times New Roman"/>
          <w:sz w:val="28"/>
          <w:szCs w:val="28"/>
        </w:rPr>
        <w:t xml:space="preserve"> органы, ответственные за осуществление пред</w:t>
      </w:r>
      <w:r w:rsidRPr="009E7C9E"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>смотренных Стратегией мер, необходимое воздействие таким обр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зом, чтобы все запланированные действия были выполнены полностью и в установленные сроки.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75D" w:rsidRPr="009E7C9E" w:rsidRDefault="0019475D" w:rsidP="001947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Общественный контроль, независимый и непредвзятый монит</w:t>
      </w: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ринг.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9E7C9E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будет зависеть также от вклада гражданского общества и средств массовой информации, так как они явл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 xml:space="preserve">ются частью </w:t>
      </w:r>
      <w:r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ациональной системы неподкупности Республики Молдова. </w:t>
      </w:r>
      <w:r>
        <w:rPr>
          <w:rFonts w:ascii="Times New Roman" w:hAnsi="Times New Roman"/>
          <w:sz w:val="28"/>
          <w:szCs w:val="28"/>
        </w:rPr>
        <w:t xml:space="preserve">Поэтому наряду с </w:t>
      </w:r>
      <w:r w:rsidRPr="009E7C9E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ответственными учреждениями официальных отчетов в Се</w:t>
      </w:r>
      <w:r w:rsidRPr="009E7C9E">
        <w:rPr>
          <w:rFonts w:ascii="Times New Roman" w:hAnsi="Times New Roman"/>
          <w:sz w:val="28"/>
          <w:szCs w:val="28"/>
        </w:rPr>
        <w:t>к</w:t>
      </w:r>
      <w:r w:rsidRPr="009E7C9E">
        <w:rPr>
          <w:rFonts w:ascii="Times New Roman" w:hAnsi="Times New Roman"/>
          <w:sz w:val="28"/>
          <w:szCs w:val="28"/>
        </w:rPr>
        <w:t>ретариат мониторинговых групп важно, чтобы гражданско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 и сре</w:t>
      </w:r>
      <w:r w:rsidRPr="009E7C9E"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 массовой информации непосредственно </w:t>
      </w:r>
      <w:r>
        <w:rPr>
          <w:rFonts w:ascii="Times New Roman" w:hAnsi="Times New Roman"/>
          <w:sz w:val="28"/>
          <w:szCs w:val="28"/>
        </w:rPr>
        <w:t>участвовали в мониторинге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</w:t>
      </w:r>
      <w:r w:rsidRPr="009E7C9E">
        <w:rPr>
          <w:rFonts w:ascii="Times New Roman" w:hAnsi="Times New Roman"/>
          <w:sz w:val="28"/>
          <w:szCs w:val="28"/>
        </w:rPr>
        <w:t xml:space="preserve"> планов действий другими опор</w:t>
      </w:r>
      <w:r>
        <w:rPr>
          <w:rFonts w:ascii="Times New Roman" w:hAnsi="Times New Roman"/>
          <w:sz w:val="28"/>
          <w:szCs w:val="28"/>
        </w:rPr>
        <w:t>ны</w:t>
      </w:r>
      <w:r w:rsidRPr="009E7C9E">
        <w:rPr>
          <w:rFonts w:ascii="Times New Roman" w:hAnsi="Times New Roman"/>
          <w:sz w:val="28"/>
          <w:szCs w:val="28"/>
        </w:rPr>
        <w:t>ми учреждениями и представлял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 альтернативные отчеты, отличные от официальных отчетов о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 xml:space="preserve">ганов власти. Важными предпосылками </w:t>
      </w:r>
      <w:r>
        <w:rPr>
          <w:rFonts w:ascii="Times New Roman" w:hAnsi="Times New Roman"/>
          <w:sz w:val="28"/>
          <w:szCs w:val="28"/>
        </w:rPr>
        <w:t>для такого мониторинга</w:t>
      </w:r>
      <w:r w:rsidRPr="009E7C9E">
        <w:rPr>
          <w:rFonts w:ascii="Times New Roman" w:hAnsi="Times New Roman"/>
          <w:sz w:val="28"/>
          <w:szCs w:val="28"/>
        </w:rPr>
        <w:t xml:space="preserve"> являются свобода, незав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симость, прозрачность, неподкупность и надежность неправительственных о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>ганизаций и средств массовой информации.</w:t>
      </w:r>
    </w:p>
    <w:p w:rsidR="0019475D" w:rsidRPr="009E7C9E" w:rsidRDefault="0019475D" w:rsidP="0019475D">
      <w:pPr>
        <w:pStyle w:val="ListParagraph1"/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9475D" w:rsidRPr="009E7C9E" w:rsidRDefault="0019475D" w:rsidP="001947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Дополнительные подходы и </w:t>
      </w:r>
      <w:proofErr w:type="gramStart"/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>избежание</w:t>
      </w:r>
      <w:proofErr w:type="gramEnd"/>
      <w:r w:rsidRPr="009E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дублирования.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 xml:space="preserve">В той степени, в которой действия </w:t>
      </w:r>
      <w:r>
        <w:rPr>
          <w:rFonts w:ascii="Times New Roman" w:hAnsi="Times New Roman"/>
          <w:sz w:val="28"/>
          <w:szCs w:val="28"/>
        </w:rPr>
        <w:t>по реализации</w:t>
      </w:r>
      <w:r w:rsidRPr="009E7C9E">
        <w:rPr>
          <w:rFonts w:ascii="Times New Roman" w:hAnsi="Times New Roman"/>
          <w:sz w:val="28"/>
          <w:szCs w:val="28"/>
        </w:rPr>
        <w:t xml:space="preserve"> настоящей Стратегии могут быть </w:t>
      </w:r>
      <w:r w:rsidRPr="009E7C9E">
        <w:rPr>
          <w:rFonts w:ascii="Times New Roman" w:hAnsi="Times New Roman"/>
          <w:sz w:val="28"/>
          <w:szCs w:val="28"/>
        </w:rPr>
        <w:lastRenderedPageBreak/>
        <w:t>полезными для других национальных программных документов, законодат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лям, разрабатывающим планы действий по реализации таких документов, следует включать в такие планы только дополнительные действия с учетом сроков, исполнителей и показателе</w:t>
      </w:r>
      <w:r>
        <w:rPr>
          <w:rFonts w:ascii="Times New Roman" w:hAnsi="Times New Roman"/>
          <w:sz w:val="28"/>
          <w:szCs w:val="28"/>
        </w:rPr>
        <w:t>й, указанных в планах действий к</w:t>
      </w:r>
      <w:r w:rsidRPr="009E7C9E">
        <w:rPr>
          <w:rFonts w:ascii="Times New Roman" w:hAnsi="Times New Roman"/>
          <w:sz w:val="28"/>
          <w:szCs w:val="28"/>
        </w:rPr>
        <w:t xml:space="preserve"> настоящей Стр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тегии. Во всех случаях следует избегать дублирования, которое приводит к путанице при </w:t>
      </w:r>
      <w:r>
        <w:rPr>
          <w:rFonts w:ascii="Times New Roman" w:hAnsi="Times New Roman"/>
          <w:sz w:val="28"/>
          <w:szCs w:val="28"/>
        </w:rPr>
        <w:t>исполнении</w:t>
      </w:r>
      <w:r w:rsidRPr="009E7C9E">
        <w:rPr>
          <w:rFonts w:ascii="Times New Roman" w:hAnsi="Times New Roman"/>
          <w:sz w:val="28"/>
          <w:szCs w:val="28"/>
        </w:rPr>
        <w:t xml:space="preserve"> документов ответственными </w:t>
      </w:r>
      <w:proofErr w:type="gramStart"/>
      <w:r w:rsidRPr="009E7C9E">
        <w:rPr>
          <w:rFonts w:ascii="Times New Roman" w:hAnsi="Times New Roman"/>
          <w:sz w:val="28"/>
          <w:szCs w:val="28"/>
        </w:rPr>
        <w:t>органами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или к освобождению от </w:t>
      </w:r>
      <w:proofErr w:type="gramStart"/>
      <w:r w:rsidRPr="009E7C9E">
        <w:rPr>
          <w:rFonts w:ascii="Times New Roman" w:hAnsi="Times New Roman"/>
          <w:sz w:val="28"/>
          <w:szCs w:val="28"/>
        </w:rPr>
        <w:t>какой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бы то ни было ответстве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ности за </w:t>
      </w:r>
      <w:r>
        <w:rPr>
          <w:rFonts w:ascii="Times New Roman" w:hAnsi="Times New Roman"/>
          <w:sz w:val="28"/>
          <w:szCs w:val="28"/>
        </w:rPr>
        <w:t>исполнение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C9E">
        <w:rPr>
          <w:rFonts w:ascii="Times New Roman" w:hAnsi="Times New Roman"/>
          <w:sz w:val="28"/>
          <w:szCs w:val="28"/>
        </w:rPr>
        <w:t>Только при наличии всех упомянутых предпосылок, реализация пред</w:t>
      </w:r>
      <w:r w:rsidRPr="009E7C9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Стратегией мер прив</w:t>
      </w:r>
      <w:r w:rsidRPr="009E7C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к ожидаемым по</w:t>
      </w:r>
      <w:r w:rsidRPr="009E7C9E">
        <w:rPr>
          <w:rFonts w:ascii="Times New Roman" w:hAnsi="Times New Roman"/>
          <w:sz w:val="28"/>
          <w:szCs w:val="28"/>
        </w:rPr>
        <w:t xml:space="preserve"> предусмотренным в </w:t>
      </w:r>
      <w:r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>азделе III</w:t>
      </w:r>
      <w:r w:rsidRPr="00B80FAC"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показат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лям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9475D" w:rsidRDefault="0019475D" w:rsidP="001947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75D" w:rsidRDefault="0019475D" w:rsidP="001947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>Раздел V</w:t>
      </w:r>
    </w:p>
    <w:p w:rsidR="0019475D" w:rsidRPr="009E7C9E" w:rsidRDefault="0019475D" w:rsidP="001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3" w:name="_Toc461605390"/>
      <w:bookmarkStart w:id="44" w:name="_Toc461615131"/>
      <w:bookmarkStart w:id="45" w:name="_Toc461615148"/>
      <w:bookmarkStart w:id="46" w:name="_Toc461617293"/>
      <w:bookmarkStart w:id="47" w:name="_Toc461617394"/>
      <w:bookmarkStart w:id="48" w:name="_Toc468129274"/>
      <w:r w:rsidRPr="009E7C9E">
        <w:rPr>
          <w:rFonts w:ascii="Times New Roman" w:hAnsi="Times New Roman"/>
          <w:b/>
          <w:bCs/>
          <w:sz w:val="28"/>
          <w:szCs w:val="28"/>
        </w:rPr>
        <w:t>ПРОЦЕДУРЫ ОТЧЕТНОСТИ И МОНИТОРИНГА</w:t>
      </w:r>
      <w:bookmarkEnd w:id="43"/>
      <w:bookmarkEnd w:id="44"/>
      <w:bookmarkEnd w:id="45"/>
      <w:bookmarkEnd w:id="46"/>
      <w:bookmarkEnd w:id="47"/>
      <w:bookmarkEnd w:id="48"/>
    </w:p>
    <w:p w:rsidR="0019475D" w:rsidRPr="009E7C9E" w:rsidRDefault="0019475D" w:rsidP="00194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Цель и задачи Стратегии достига</w:t>
      </w:r>
      <w:r>
        <w:rPr>
          <w:rFonts w:ascii="Times New Roman" w:hAnsi="Times New Roman"/>
          <w:sz w:val="28"/>
          <w:szCs w:val="28"/>
        </w:rPr>
        <w:t>ю</w:t>
      </w:r>
      <w:r w:rsidRPr="009E7C9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и выполняются </w:t>
      </w:r>
      <w:r w:rsidRPr="009E7C9E">
        <w:rPr>
          <w:rFonts w:ascii="Times New Roman" w:hAnsi="Times New Roman"/>
          <w:sz w:val="28"/>
          <w:szCs w:val="28"/>
        </w:rPr>
        <w:t>посредством реализации планов действий, предусмотренных для опор неподкупности. Мон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торинг реализации планов действий осуществляется посредством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говых групп, деятельность которых обеспечивает </w:t>
      </w:r>
      <w:r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 xml:space="preserve">екретариат, созданный НЦБК. </w:t>
      </w: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и результативности</w:t>
      </w:r>
      <w:r w:rsidRPr="009E7C9E">
        <w:rPr>
          <w:rFonts w:ascii="Times New Roman" w:hAnsi="Times New Roman"/>
          <w:sz w:val="28"/>
          <w:szCs w:val="28"/>
        </w:rPr>
        <w:t xml:space="preserve"> Стратегии оценива</w:t>
      </w:r>
      <w:r>
        <w:rPr>
          <w:rFonts w:ascii="Times New Roman" w:hAnsi="Times New Roman"/>
          <w:sz w:val="28"/>
          <w:szCs w:val="28"/>
        </w:rPr>
        <w:t>ю</w:t>
      </w:r>
      <w:r w:rsidRPr="009E7C9E">
        <w:rPr>
          <w:rFonts w:ascii="Times New Roman" w:hAnsi="Times New Roman"/>
          <w:sz w:val="28"/>
          <w:szCs w:val="28"/>
        </w:rPr>
        <w:t xml:space="preserve">тся при помощи ежегодного опроса. Отчеты о мониторинге и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крыты для</w:t>
      </w:r>
      <w:r w:rsidRPr="009E7C9E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 общественности</w:t>
      </w:r>
      <w:r w:rsidRPr="009E7C9E">
        <w:rPr>
          <w:rFonts w:ascii="Times New Roman" w:hAnsi="Times New Roman"/>
          <w:sz w:val="28"/>
          <w:szCs w:val="28"/>
        </w:rPr>
        <w:t>, а отчет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 об окончательной оценке по</w:t>
      </w:r>
      <w:r w:rsidRPr="009E7C9E"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леж</w:t>
      </w:r>
      <w:r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ежегодному </w:t>
      </w:r>
      <w:r w:rsidRPr="009E7C9E">
        <w:rPr>
          <w:rFonts w:ascii="Times New Roman" w:hAnsi="Times New Roman"/>
          <w:sz w:val="28"/>
          <w:szCs w:val="28"/>
        </w:rPr>
        <w:t xml:space="preserve">обсуждению </w:t>
      </w:r>
      <w:r>
        <w:rPr>
          <w:rFonts w:ascii="Times New Roman" w:hAnsi="Times New Roman"/>
          <w:sz w:val="28"/>
          <w:szCs w:val="28"/>
        </w:rPr>
        <w:t>в Комиссии Парламента по национальной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опасности, </w:t>
      </w:r>
      <w:r w:rsidRPr="009E7C9E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и общественн</w:t>
      </w:r>
      <w:r>
        <w:rPr>
          <w:rFonts w:ascii="Times New Roman" w:hAnsi="Times New Roman"/>
          <w:sz w:val="28"/>
          <w:szCs w:val="28"/>
        </w:rPr>
        <w:t>ому</w:t>
      </w:r>
      <w:r w:rsidRPr="009E7C9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у и </w:t>
      </w:r>
      <w:r w:rsidRPr="009E7C9E">
        <w:rPr>
          <w:rFonts w:ascii="Times New Roman" w:hAnsi="Times New Roman"/>
          <w:sz w:val="28"/>
          <w:szCs w:val="28"/>
        </w:rPr>
        <w:t>на пленарном заседании Па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 xml:space="preserve">ламента, с последующим </w:t>
      </w:r>
      <w:r>
        <w:rPr>
          <w:rFonts w:ascii="Times New Roman" w:hAnsi="Times New Roman"/>
          <w:sz w:val="28"/>
          <w:szCs w:val="28"/>
        </w:rPr>
        <w:t>принятием</w:t>
      </w:r>
      <w:r w:rsidRPr="009E7C9E">
        <w:rPr>
          <w:rFonts w:ascii="Times New Roman" w:hAnsi="Times New Roman"/>
          <w:sz w:val="28"/>
          <w:szCs w:val="28"/>
        </w:rPr>
        <w:t xml:space="preserve"> по нему постановл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ния.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Планы действий </w:t>
      </w:r>
      <w:r w:rsidRPr="009E7C9E">
        <w:rPr>
          <w:rFonts w:ascii="Times New Roman" w:hAnsi="Times New Roman"/>
          <w:sz w:val="28"/>
          <w:szCs w:val="28"/>
        </w:rPr>
        <w:t>опор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–</w:t>
      </w:r>
      <w:r w:rsidRPr="009E7C9E">
        <w:rPr>
          <w:rFonts w:ascii="Times New Roman" w:hAnsi="Times New Roman"/>
          <w:sz w:val="28"/>
          <w:szCs w:val="28"/>
        </w:rPr>
        <w:t>VII Стратегии организуются в соответствии с приоритетами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действия, </w:t>
      </w:r>
      <w:r w:rsidRPr="009E7C9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 выполнения</w:t>
      </w:r>
      <w:r w:rsidRPr="009E7C9E">
        <w:rPr>
          <w:rFonts w:ascii="Times New Roman" w:hAnsi="Times New Roman"/>
          <w:sz w:val="28"/>
          <w:szCs w:val="28"/>
        </w:rPr>
        <w:t>, ответстве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реждения</w:t>
      </w:r>
      <w:r w:rsidRPr="009E7C9E">
        <w:rPr>
          <w:rFonts w:ascii="Times New Roman" w:hAnsi="Times New Roman"/>
          <w:sz w:val="28"/>
          <w:szCs w:val="28"/>
        </w:rPr>
        <w:t>, показател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 прогресса, соответствующи</w:t>
      </w:r>
      <w:r>
        <w:rPr>
          <w:rFonts w:ascii="Times New Roman" w:hAnsi="Times New Roman"/>
          <w:sz w:val="28"/>
          <w:szCs w:val="28"/>
        </w:rPr>
        <w:t>е общие</w:t>
      </w:r>
      <w:r w:rsidRPr="009E7C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, и</w:t>
      </w:r>
      <w:r w:rsidRPr="009E7C9E"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>точник финансирования и источник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 проверки. Планы действий утверждаются на весь п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риод действия Стратегии.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E7C9E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половины срока реализации Стратегии </w:t>
      </w:r>
      <w:r>
        <w:rPr>
          <w:rFonts w:ascii="Times New Roman" w:hAnsi="Times New Roman"/>
          <w:sz w:val="28"/>
          <w:szCs w:val="28"/>
        </w:rPr>
        <w:t>постоянная К</w:t>
      </w:r>
      <w:r w:rsidRPr="009E7C9E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Парламента по национальной безопасности, </w:t>
      </w:r>
      <w:r w:rsidRPr="009E7C9E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и общественн</w:t>
      </w:r>
      <w:r>
        <w:rPr>
          <w:rFonts w:ascii="Times New Roman" w:hAnsi="Times New Roman"/>
          <w:sz w:val="28"/>
          <w:szCs w:val="28"/>
        </w:rPr>
        <w:t>ому</w:t>
      </w:r>
      <w:r w:rsidRPr="009E7C9E">
        <w:rPr>
          <w:rFonts w:ascii="Times New Roman" w:hAnsi="Times New Roman"/>
          <w:sz w:val="28"/>
          <w:szCs w:val="28"/>
        </w:rPr>
        <w:t xml:space="preserve"> поря</w:t>
      </w:r>
      <w:r w:rsidRPr="009E7C9E"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 xml:space="preserve"> при поддержке Секретариата мониторинговых групп</w:t>
      </w:r>
      <w:r>
        <w:rPr>
          <w:rFonts w:ascii="Times New Roman" w:hAnsi="Times New Roman"/>
          <w:sz w:val="28"/>
          <w:szCs w:val="28"/>
        </w:rPr>
        <w:t xml:space="preserve"> проводит </w:t>
      </w:r>
      <w:r w:rsidRPr="009E7C9E">
        <w:rPr>
          <w:rFonts w:ascii="Times New Roman" w:hAnsi="Times New Roman"/>
          <w:sz w:val="28"/>
          <w:szCs w:val="28"/>
        </w:rPr>
        <w:t>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</w:t>
      </w:r>
      <w:r w:rsidRPr="009E7C9E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9E7C9E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9E7C9E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>ми</w:t>
      </w:r>
      <w:r w:rsidRPr="009E7C9E">
        <w:rPr>
          <w:rFonts w:ascii="Times New Roman" w:hAnsi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/>
          <w:sz w:val="28"/>
          <w:szCs w:val="28"/>
        </w:rPr>
        <w:t>ми</w:t>
      </w:r>
      <w:r w:rsidRPr="009E7C9E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ами</w:t>
      </w:r>
      <w:r w:rsidRPr="009E7C9E">
        <w:rPr>
          <w:rFonts w:ascii="Times New Roman" w:hAnsi="Times New Roman"/>
          <w:sz w:val="28"/>
          <w:szCs w:val="28"/>
        </w:rPr>
        <w:t xml:space="preserve"> с целью проверки актуальности и точности запланированных де</w:t>
      </w:r>
      <w:r w:rsidRPr="009E7C9E">
        <w:rPr>
          <w:rFonts w:ascii="Times New Roman" w:hAnsi="Times New Roman"/>
          <w:sz w:val="28"/>
          <w:szCs w:val="28"/>
        </w:rPr>
        <w:t>й</w:t>
      </w:r>
      <w:r w:rsidRPr="009E7C9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вий</w:t>
      </w:r>
      <w:r w:rsidRPr="009E7C9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 по обстоятельствам,</w:t>
      </w:r>
      <w:r w:rsidRPr="009E7C9E">
        <w:rPr>
          <w:rFonts w:ascii="Times New Roman" w:hAnsi="Times New Roman"/>
          <w:sz w:val="28"/>
          <w:szCs w:val="28"/>
        </w:rPr>
        <w:t xml:space="preserve"> принимает решение о направлении Парламенту предл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жений по изменению и допо</w:t>
      </w:r>
      <w:r>
        <w:rPr>
          <w:rFonts w:ascii="Times New Roman" w:hAnsi="Times New Roman"/>
          <w:sz w:val="28"/>
          <w:szCs w:val="28"/>
        </w:rPr>
        <w:t>лнению планов действий по каждой</w:t>
      </w:r>
      <w:r w:rsidRPr="009E7C9E">
        <w:rPr>
          <w:rFonts w:ascii="Times New Roman" w:hAnsi="Times New Roman"/>
          <w:sz w:val="28"/>
          <w:szCs w:val="28"/>
        </w:rPr>
        <w:t xml:space="preserve"> опор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.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</w:t>
      </w:r>
      <w:r w:rsidRPr="009E7C9E">
        <w:rPr>
          <w:rFonts w:ascii="Times New Roman" w:hAnsi="Times New Roman"/>
          <w:sz w:val="28"/>
          <w:szCs w:val="28"/>
        </w:rPr>
        <w:t xml:space="preserve"> планы действий дополняются целью, котор</w:t>
      </w:r>
      <w:r>
        <w:rPr>
          <w:rFonts w:ascii="Times New Roman" w:hAnsi="Times New Roman"/>
          <w:sz w:val="28"/>
          <w:szCs w:val="28"/>
        </w:rPr>
        <w:t>ая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E7C9E">
        <w:rPr>
          <w:rFonts w:ascii="Times New Roman" w:hAnsi="Times New Roman"/>
          <w:sz w:val="28"/>
          <w:szCs w:val="28"/>
        </w:rPr>
        <w:t>длежит дост</w:t>
      </w:r>
      <w:r w:rsidRPr="009E7C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жению</w:t>
      </w:r>
      <w:r w:rsidRPr="009E7C9E">
        <w:rPr>
          <w:rFonts w:ascii="Times New Roman" w:hAnsi="Times New Roman"/>
          <w:sz w:val="28"/>
          <w:szCs w:val="28"/>
        </w:rPr>
        <w:t xml:space="preserve"> в сравнении со значением показателей прогресса, </w:t>
      </w:r>
      <w:r w:rsidRPr="009E7C9E">
        <w:rPr>
          <w:rFonts w:ascii="Times New Roman" w:hAnsi="Times New Roman"/>
          <w:sz w:val="28"/>
          <w:szCs w:val="28"/>
        </w:rPr>
        <w:lastRenderedPageBreak/>
        <w:t xml:space="preserve">отмеченного до середины срока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для действий постоянного характера, подразум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вающих периодическую проверку показателей прогре</w:t>
      </w:r>
      <w:r w:rsidRPr="009E7C9E"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 xml:space="preserve">са.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До истечения срока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Комиссия </w:t>
      </w:r>
      <w:r>
        <w:rPr>
          <w:rFonts w:ascii="Times New Roman" w:hAnsi="Times New Roman"/>
          <w:sz w:val="28"/>
          <w:szCs w:val="28"/>
        </w:rPr>
        <w:t xml:space="preserve">по национальной безопасности, </w:t>
      </w:r>
      <w:r w:rsidRPr="009E7C9E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и общественн</w:t>
      </w:r>
      <w:r>
        <w:rPr>
          <w:rFonts w:ascii="Times New Roman" w:hAnsi="Times New Roman"/>
          <w:sz w:val="28"/>
          <w:szCs w:val="28"/>
        </w:rPr>
        <w:t>ому</w:t>
      </w:r>
      <w:r w:rsidRPr="009E7C9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 xml:space="preserve"> принимает решение о во</w:t>
      </w:r>
      <w:r w:rsidRPr="009E7C9E">
        <w:rPr>
          <w:rFonts w:ascii="Times New Roman" w:hAnsi="Times New Roman"/>
          <w:sz w:val="28"/>
          <w:szCs w:val="28"/>
        </w:rPr>
        <w:t>з</w:t>
      </w:r>
      <w:r w:rsidRPr="009E7C9E">
        <w:rPr>
          <w:rFonts w:ascii="Times New Roman" w:hAnsi="Times New Roman"/>
          <w:sz w:val="28"/>
          <w:szCs w:val="28"/>
        </w:rPr>
        <w:t xml:space="preserve">можности продления </w:t>
      </w:r>
      <w:r>
        <w:rPr>
          <w:rFonts w:ascii="Times New Roman" w:hAnsi="Times New Roman"/>
          <w:sz w:val="28"/>
          <w:szCs w:val="28"/>
        </w:rPr>
        <w:t>этого срока</w:t>
      </w:r>
      <w:r w:rsidRPr="009E7C9E">
        <w:rPr>
          <w:rFonts w:ascii="Times New Roman" w:hAnsi="Times New Roman"/>
          <w:sz w:val="28"/>
          <w:szCs w:val="28"/>
        </w:rPr>
        <w:t xml:space="preserve">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Группы мониторинга </w:t>
      </w:r>
      <w:r w:rsidRPr="009E7C9E">
        <w:rPr>
          <w:rFonts w:ascii="Times New Roman" w:hAnsi="Times New Roman"/>
          <w:sz w:val="28"/>
          <w:szCs w:val="28"/>
        </w:rPr>
        <w:t xml:space="preserve">Стратегии создаются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9E7C9E">
        <w:rPr>
          <w:rFonts w:ascii="Times New Roman" w:hAnsi="Times New Roman"/>
          <w:sz w:val="28"/>
          <w:szCs w:val="28"/>
        </w:rPr>
        <w:t xml:space="preserve">руководителей учреждений, участвующих во внедрении </w:t>
      </w:r>
      <w:r>
        <w:rPr>
          <w:rFonts w:ascii="Times New Roman" w:hAnsi="Times New Roman"/>
          <w:sz w:val="28"/>
          <w:szCs w:val="28"/>
        </w:rPr>
        <w:t xml:space="preserve">контролируемых </w:t>
      </w:r>
      <w:r w:rsidRPr="009E7C9E">
        <w:rPr>
          <w:rFonts w:ascii="Times New Roman" w:hAnsi="Times New Roman"/>
          <w:sz w:val="28"/>
          <w:szCs w:val="28"/>
        </w:rPr>
        <w:t>опор. Деятел</w:t>
      </w:r>
      <w:r w:rsidRPr="009E7C9E">
        <w:rPr>
          <w:rFonts w:ascii="Times New Roman" w:hAnsi="Times New Roman"/>
          <w:sz w:val="28"/>
          <w:szCs w:val="28"/>
        </w:rPr>
        <w:t>ь</w:t>
      </w:r>
      <w:r w:rsidRPr="009E7C9E">
        <w:rPr>
          <w:rFonts w:ascii="Times New Roman" w:hAnsi="Times New Roman"/>
          <w:sz w:val="28"/>
          <w:szCs w:val="28"/>
        </w:rPr>
        <w:t xml:space="preserve">ность по мониторингу Стратегии организуется в рамках </w:t>
      </w:r>
      <w:r>
        <w:rPr>
          <w:rFonts w:ascii="Times New Roman" w:hAnsi="Times New Roman"/>
          <w:sz w:val="28"/>
          <w:szCs w:val="28"/>
        </w:rPr>
        <w:t>трех</w:t>
      </w:r>
      <w:r w:rsidRPr="009E7C9E">
        <w:rPr>
          <w:rFonts w:ascii="Times New Roman" w:hAnsi="Times New Roman"/>
          <w:sz w:val="28"/>
          <w:szCs w:val="28"/>
        </w:rPr>
        <w:t xml:space="preserve"> групп следующим о</w:t>
      </w:r>
      <w:r w:rsidRPr="009E7C9E">
        <w:rPr>
          <w:rFonts w:ascii="Times New Roman" w:hAnsi="Times New Roman"/>
          <w:sz w:val="28"/>
          <w:szCs w:val="28"/>
        </w:rPr>
        <w:t>б</w:t>
      </w:r>
      <w:r w:rsidRPr="009E7C9E">
        <w:rPr>
          <w:rFonts w:ascii="Times New Roman" w:hAnsi="Times New Roman"/>
          <w:sz w:val="28"/>
          <w:szCs w:val="28"/>
        </w:rPr>
        <w:t>разом:</w:t>
      </w: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Первая м</w:t>
      </w:r>
      <w:r w:rsidRPr="009E7C9E">
        <w:rPr>
          <w:rFonts w:ascii="Times New Roman" w:hAnsi="Times New Roman"/>
          <w:i/>
          <w:iCs/>
          <w:sz w:val="28"/>
          <w:szCs w:val="28"/>
        </w:rPr>
        <w:t>ониторинговая группа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ответственна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за опоры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7C9E">
        <w:rPr>
          <w:rFonts w:ascii="Times New Roman" w:hAnsi="Times New Roman"/>
          <w:i/>
          <w:iCs/>
          <w:sz w:val="28"/>
          <w:szCs w:val="28"/>
        </w:rPr>
        <w:t>I. Парл</w:t>
      </w:r>
      <w:r w:rsidRPr="009E7C9E">
        <w:rPr>
          <w:rFonts w:ascii="Times New Roman" w:hAnsi="Times New Roman"/>
          <w:i/>
          <w:iCs/>
          <w:sz w:val="28"/>
          <w:szCs w:val="28"/>
        </w:rPr>
        <w:t>а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мент </w:t>
      </w:r>
      <w:r w:rsidRPr="002C4EEC">
        <w:rPr>
          <w:rFonts w:ascii="Times New Roman" w:hAnsi="Times New Roman"/>
          <w:iCs/>
          <w:sz w:val="28"/>
          <w:szCs w:val="28"/>
        </w:rPr>
        <w:t>и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IV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Центральная избирательная комиссия и политические партии. </w:t>
      </w:r>
      <w:r w:rsidRPr="009E7C9E"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Первой м</w:t>
      </w:r>
      <w:r w:rsidRPr="009E7C9E">
        <w:rPr>
          <w:rFonts w:ascii="Times New Roman" w:hAnsi="Times New Roman"/>
          <w:sz w:val="28"/>
          <w:szCs w:val="28"/>
        </w:rPr>
        <w:t>ониторинговой группы: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редседатель и заместител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 Председателя Парламента;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редседатели постоянных парламентских комиссий;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о одному представителю фракций, не руководящих постоянными парламентскими комиссиями;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редседатель, члены и секретарь ЦИК;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>пяти</w:t>
      </w:r>
      <w:r w:rsidRPr="009E7C9E">
        <w:rPr>
          <w:rFonts w:ascii="Times New Roman" w:hAnsi="Times New Roman"/>
          <w:sz w:val="28"/>
          <w:szCs w:val="28"/>
        </w:rPr>
        <w:t xml:space="preserve"> внепарламентских партий;</w:t>
      </w:r>
    </w:p>
    <w:p w:rsidR="0019475D" w:rsidRPr="009E7C9E" w:rsidRDefault="0019475D" w:rsidP="0019475D">
      <w:pPr>
        <w:pStyle w:val="ListParagraph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>четырех</w:t>
      </w:r>
      <w:r w:rsidRPr="009E7C9E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>объединений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Вторая мониторинговая группа,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ответственна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за опоры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7C9E">
        <w:rPr>
          <w:rFonts w:ascii="Times New Roman" w:hAnsi="Times New Roman"/>
          <w:i/>
          <w:iCs/>
          <w:sz w:val="28"/>
          <w:szCs w:val="28"/>
        </w:rPr>
        <w:t>II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Правительство, публичный сектор и местное публичное управление </w:t>
      </w:r>
      <w:r w:rsidRPr="002C4EEC">
        <w:rPr>
          <w:rFonts w:ascii="Times New Roman" w:hAnsi="Times New Roman"/>
          <w:iCs/>
          <w:sz w:val="28"/>
          <w:szCs w:val="28"/>
        </w:rPr>
        <w:t>и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VII. Частный сектор. </w:t>
      </w:r>
      <w:r w:rsidRPr="009E7C9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Второй м</w:t>
      </w:r>
      <w:r w:rsidRPr="009E7C9E">
        <w:rPr>
          <w:rFonts w:ascii="Times New Roman" w:hAnsi="Times New Roman"/>
          <w:sz w:val="28"/>
          <w:szCs w:val="28"/>
        </w:rPr>
        <w:t>онит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ринговой группы: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Премьер-министр;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E7C9E">
        <w:rPr>
          <w:rFonts w:ascii="Times New Roman" w:hAnsi="Times New Roman"/>
          <w:sz w:val="28"/>
          <w:szCs w:val="28"/>
        </w:rPr>
        <w:t>лены Правительства;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редседатели органов местного публичного управления </w:t>
      </w:r>
      <w:r>
        <w:rPr>
          <w:rFonts w:ascii="Times New Roman" w:hAnsi="Times New Roman"/>
          <w:sz w:val="28"/>
          <w:szCs w:val="28"/>
        </w:rPr>
        <w:t>второго</w:t>
      </w:r>
      <w:r w:rsidRPr="009E7C9E">
        <w:rPr>
          <w:rFonts w:ascii="Times New Roman" w:hAnsi="Times New Roman"/>
          <w:sz w:val="28"/>
          <w:szCs w:val="28"/>
        </w:rPr>
        <w:t xml:space="preserve"> уровня </w:t>
      </w:r>
      <w:proofErr w:type="gramStart"/>
      <w:r w:rsidRPr="009E7C9E">
        <w:rPr>
          <w:rFonts w:ascii="Times New Roman" w:hAnsi="Times New Roman"/>
          <w:sz w:val="28"/>
          <w:szCs w:val="28"/>
        </w:rPr>
        <w:t>из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не менее </w:t>
      </w:r>
      <w:proofErr w:type="gramStart"/>
      <w:r w:rsidRPr="009E7C9E">
        <w:rPr>
          <w:rFonts w:ascii="Times New Roman" w:hAnsi="Times New Roman"/>
          <w:sz w:val="28"/>
          <w:szCs w:val="28"/>
        </w:rPr>
        <w:t>чем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трети административно-территориальных </w:t>
      </w:r>
      <w:r>
        <w:rPr>
          <w:rFonts w:ascii="Times New Roman" w:hAnsi="Times New Roman"/>
          <w:sz w:val="28"/>
          <w:szCs w:val="28"/>
        </w:rPr>
        <w:t>единиц</w:t>
      </w:r>
      <w:r w:rsidRPr="009E7C9E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>льного, северного</w:t>
      </w:r>
      <w:r w:rsidRPr="009E7C9E">
        <w:rPr>
          <w:rFonts w:ascii="Times New Roman" w:hAnsi="Times New Roman"/>
          <w:sz w:val="28"/>
          <w:szCs w:val="28"/>
        </w:rPr>
        <w:t xml:space="preserve"> и ю</w:t>
      </w:r>
      <w:r>
        <w:rPr>
          <w:rFonts w:ascii="Times New Roman" w:hAnsi="Times New Roman"/>
          <w:sz w:val="28"/>
          <w:szCs w:val="28"/>
        </w:rPr>
        <w:t>жного регионов</w:t>
      </w:r>
      <w:r w:rsidRPr="009E7C9E">
        <w:rPr>
          <w:rFonts w:ascii="Times New Roman" w:hAnsi="Times New Roman"/>
          <w:sz w:val="28"/>
          <w:szCs w:val="28"/>
        </w:rPr>
        <w:t xml:space="preserve"> (участие посредством рот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ции);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римары</w:t>
      </w:r>
      <w:proofErr w:type="spellEnd"/>
      <w:r w:rsidRPr="009E7C9E">
        <w:rPr>
          <w:rFonts w:ascii="Times New Roman" w:hAnsi="Times New Roman"/>
          <w:sz w:val="28"/>
          <w:szCs w:val="28"/>
        </w:rPr>
        <w:t xml:space="preserve"> муниципиев </w:t>
      </w:r>
      <w:proofErr w:type="spellStart"/>
      <w:r w:rsidRPr="009E7C9E">
        <w:rPr>
          <w:rFonts w:ascii="Times New Roman" w:hAnsi="Times New Roman"/>
          <w:sz w:val="28"/>
          <w:szCs w:val="28"/>
        </w:rPr>
        <w:t>Кишинэу</w:t>
      </w:r>
      <w:proofErr w:type="spellEnd"/>
      <w:r w:rsidRPr="009E7C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7C9E">
        <w:rPr>
          <w:rFonts w:ascii="Times New Roman" w:hAnsi="Times New Roman"/>
          <w:sz w:val="28"/>
          <w:szCs w:val="28"/>
        </w:rPr>
        <w:t>Бэлць</w:t>
      </w:r>
      <w:proofErr w:type="spellEnd"/>
      <w:r w:rsidRPr="009E7C9E">
        <w:rPr>
          <w:rFonts w:ascii="Times New Roman" w:hAnsi="Times New Roman"/>
          <w:sz w:val="28"/>
          <w:szCs w:val="28"/>
        </w:rPr>
        <w:t xml:space="preserve"> и Комрат;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Президент Торгово-промышленной палаты;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о одному представителю Национальной конфедерации профсоюзов и Н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ональной конфедерации патроната</w:t>
      </w:r>
      <w:r w:rsidRPr="009E7C9E">
        <w:rPr>
          <w:rFonts w:ascii="Times New Roman" w:hAnsi="Times New Roman"/>
          <w:sz w:val="28"/>
          <w:szCs w:val="28"/>
        </w:rPr>
        <w:t>;</w:t>
      </w:r>
    </w:p>
    <w:p w:rsidR="0019475D" w:rsidRPr="009E7C9E" w:rsidRDefault="0019475D" w:rsidP="0019475D">
      <w:pPr>
        <w:pStyle w:val="ListParagraph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>шести</w:t>
      </w:r>
      <w:r w:rsidRPr="009E7C9E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>объединений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75D" w:rsidRPr="009E7C9E" w:rsidRDefault="0019475D" w:rsidP="0019475D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Третья м</w:t>
      </w:r>
      <w:r w:rsidRPr="009E7C9E">
        <w:rPr>
          <w:rFonts w:ascii="Times New Roman" w:hAnsi="Times New Roman"/>
          <w:i/>
          <w:iCs/>
          <w:sz w:val="28"/>
          <w:szCs w:val="28"/>
        </w:rPr>
        <w:t>ониторинговая группа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ответственная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за опоры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7C9E">
        <w:rPr>
          <w:rFonts w:ascii="Times New Roman" w:hAnsi="Times New Roman"/>
          <w:i/>
          <w:iCs/>
          <w:sz w:val="28"/>
          <w:szCs w:val="28"/>
        </w:rPr>
        <w:t>III. Правос</w:t>
      </w:r>
      <w:r w:rsidRPr="009E7C9E">
        <w:rPr>
          <w:rFonts w:ascii="Times New Roman" w:hAnsi="Times New Roman"/>
          <w:i/>
          <w:iCs/>
          <w:sz w:val="28"/>
          <w:szCs w:val="28"/>
        </w:rPr>
        <w:t>у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дие и антикоррупционные </w:t>
      </w:r>
      <w:r>
        <w:rPr>
          <w:rFonts w:ascii="Times New Roman" w:hAnsi="Times New Roman"/>
          <w:i/>
          <w:iCs/>
          <w:sz w:val="28"/>
          <w:szCs w:val="28"/>
        </w:rPr>
        <w:t>органы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, V. Счетная палата </w:t>
      </w:r>
      <w:r w:rsidRPr="002C4EEC">
        <w:rPr>
          <w:rFonts w:ascii="Times New Roman" w:hAnsi="Times New Roman"/>
          <w:iCs/>
          <w:sz w:val="28"/>
          <w:szCs w:val="28"/>
        </w:rPr>
        <w:t>и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 VI. Народный адво</w:t>
      </w:r>
      <w:r>
        <w:rPr>
          <w:rFonts w:ascii="Times New Roman" w:hAnsi="Times New Roman"/>
          <w:i/>
          <w:iCs/>
          <w:sz w:val="28"/>
          <w:szCs w:val="28"/>
        </w:rPr>
        <w:t>кат</w:t>
      </w:r>
      <w:r w:rsidRPr="009E7C9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E7C9E">
        <w:rPr>
          <w:rFonts w:ascii="Times New Roman" w:hAnsi="Times New Roman"/>
          <w:sz w:val="28"/>
          <w:szCs w:val="28"/>
        </w:rPr>
        <w:t>С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третьей м</w:t>
      </w:r>
      <w:r w:rsidRPr="009E7C9E">
        <w:rPr>
          <w:rFonts w:ascii="Times New Roman" w:hAnsi="Times New Roman"/>
          <w:sz w:val="28"/>
          <w:szCs w:val="28"/>
        </w:rPr>
        <w:t>ониторинговой группы: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 три</w:t>
      </w:r>
      <w:r w:rsidRPr="009E7C9E">
        <w:rPr>
          <w:rFonts w:ascii="Times New Roman" w:hAnsi="Times New Roman"/>
          <w:sz w:val="28"/>
          <w:szCs w:val="28"/>
        </w:rPr>
        <w:t xml:space="preserve"> назначенных члена Высшего совета магистрат</w:t>
      </w:r>
      <w:r w:rsidRPr="009E7C9E"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>ры;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E7C9E">
        <w:rPr>
          <w:rFonts w:ascii="Times New Roman" w:hAnsi="Times New Roman"/>
          <w:sz w:val="28"/>
          <w:szCs w:val="28"/>
        </w:rPr>
        <w:t xml:space="preserve">редседатель и </w:t>
      </w:r>
      <w:r>
        <w:rPr>
          <w:rFonts w:ascii="Times New Roman" w:hAnsi="Times New Roman"/>
          <w:sz w:val="28"/>
          <w:szCs w:val="28"/>
        </w:rPr>
        <w:t>три</w:t>
      </w:r>
      <w:r w:rsidRPr="009E7C9E">
        <w:rPr>
          <w:rFonts w:ascii="Times New Roman" w:hAnsi="Times New Roman"/>
          <w:sz w:val="28"/>
          <w:szCs w:val="28"/>
        </w:rPr>
        <w:t xml:space="preserve"> назначенных члена Высшего совета прокур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ров;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рокурор и заместител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 прокурора </w:t>
      </w:r>
      <w:r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нтикоррупционной прокурат</w:t>
      </w:r>
      <w:r w:rsidRPr="009E7C9E"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>ры;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иректор и заместитель директора НЦБК;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редседатель и 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редседателя НОН;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иректор СИБ;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редседатель и члены Счетной палаты;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ародный адвокат и </w:t>
      </w:r>
      <w:r>
        <w:rPr>
          <w:rFonts w:ascii="Times New Roman" w:hAnsi="Times New Roman"/>
          <w:sz w:val="28"/>
          <w:szCs w:val="28"/>
        </w:rPr>
        <w:t>г</w:t>
      </w:r>
      <w:r w:rsidRPr="009E7C9E">
        <w:rPr>
          <w:rFonts w:ascii="Times New Roman" w:hAnsi="Times New Roman"/>
          <w:sz w:val="28"/>
          <w:szCs w:val="28"/>
        </w:rPr>
        <w:t>енеральный секретарь Офиса народного адвок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та;</w:t>
      </w:r>
    </w:p>
    <w:p w:rsidR="0019475D" w:rsidRPr="009E7C9E" w:rsidRDefault="0019475D" w:rsidP="001947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>четырех</w:t>
      </w:r>
      <w:r w:rsidRPr="009E7C9E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>объединений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Статус наблюдателя при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E7C9E">
        <w:rPr>
          <w:rFonts w:ascii="Times New Roman" w:hAnsi="Times New Roman"/>
          <w:b/>
          <w:bCs/>
          <w:sz w:val="28"/>
          <w:szCs w:val="28"/>
        </w:rPr>
        <w:t>ониторинговых группах</w:t>
      </w:r>
      <w:r w:rsidRPr="009E7C9E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 быть предоставлен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запросу</w:t>
      </w:r>
      <w:r w:rsidRPr="009E7C9E">
        <w:rPr>
          <w:rFonts w:ascii="Times New Roman" w:hAnsi="Times New Roman"/>
          <w:sz w:val="28"/>
          <w:szCs w:val="28"/>
        </w:rPr>
        <w:t xml:space="preserve"> консультант</w:t>
      </w:r>
      <w:r>
        <w:rPr>
          <w:rFonts w:ascii="Times New Roman" w:hAnsi="Times New Roman"/>
          <w:sz w:val="28"/>
          <w:szCs w:val="28"/>
        </w:rPr>
        <w:t>ам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направлениям политик опорных </w:t>
      </w:r>
      <w:r w:rsidRPr="009E7C9E"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>ч</w:t>
      </w:r>
      <w:r w:rsidRPr="009E7C9E">
        <w:rPr>
          <w:rFonts w:ascii="Times New Roman" w:hAnsi="Times New Roman"/>
          <w:sz w:val="28"/>
          <w:szCs w:val="28"/>
        </w:rPr>
        <w:t>реждений,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9E7C9E">
        <w:rPr>
          <w:rFonts w:ascii="Times New Roman" w:hAnsi="Times New Roman"/>
          <w:sz w:val="28"/>
          <w:szCs w:val="28"/>
        </w:rPr>
        <w:t xml:space="preserve"> других публичных учреждений, международных учреждений и дипломатического ко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>пуса.</w:t>
      </w:r>
    </w:p>
    <w:p w:rsidR="0019475D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E7C9E">
        <w:rPr>
          <w:rFonts w:ascii="Times New Roman" w:hAnsi="Times New Roman"/>
          <w:b/>
          <w:bCs/>
          <w:sz w:val="28"/>
          <w:szCs w:val="28"/>
        </w:rPr>
        <w:t xml:space="preserve">ониторинговых групп </w:t>
      </w:r>
      <w:r w:rsidRPr="009E7C9E">
        <w:rPr>
          <w:rFonts w:ascii="Times New Roman" w:hAnsi="Times New Roman"/>
          <w:sz w:val="28"/>
          <w:szCs w:val="28"/>
        </w:rPr>
        <w:t>проводятся два раза в год для ка</w:t>
      </w:r>
      <w:r w:rsidRPr="009E7C9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дой из трех</w:t>
      </w:r>
      <w:r w:rsidRPr="009E7C9E">
        <w:rPr>
          <w:rFonts w:ascii="Times New Roman" w:hAnsi="Times New Roman"/>
          <w:sz w:val="28"/>
          <w:szCs w:val="28"/>
        </w:rPr>
        <w:t xml:space="preserve"> мониторинговых групп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E7C9E">
        <w:rPr>
          <w:rFonts w:ascii="Times New Roman" w:hAnsi="Times New Roman"/>
          <w:sz w:val="28"/>
          <w:szCs w:val="28"/>
        </w:rPr>
        <w:t xml:space="preserve"> ходе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E7C9E">
        <w:rPr>
          <w:rFonts w:ascii="Times New Roman" w:hAnsi="Times New Roman"/>
          <w:sz w:val="28"/>
          <w:szCs w:val="28"/>
        </w:rPr>
        <w:t>публично заслушивается информация о достигнутых результатах и трудностях</w:t>
      </w:r>
      <w:r>
        <w:rPr>
          <w:rFonts w:ascii="Times New Roman" w:hAnsi="Times New Roman"/>
          <w:sz w:val="28"/>
          <w:szCs w:val="28"/>
        </w:rPr>
        <w:t xml:space="preserve"> при реализации</w:t>
      </w:r>
      <w:r w:rsidRPr="009E7C9E">
        <w:rPr>
          <w:rFonts w:ascii="Times New Roman" w:hAnsi="Times New Roman"/>
          <w:sz w:val="28"/>
          <w:szCs w:val="28"/>
        </w:rPr>
        <w:t xml:space="preserve"> действий, </w:t>
      </w:r>
      <w:r>
        <w:rPr>
          <w:rFonts w:ascii="Times New Roman" w:hAnsi="Times New Roman"/>
          <w:sz w:val="28"/>
          <w:szCs w:val="28"/>
        </w:rPr>
        <w:t>предусмотре</w:t>
      </w:r>
      <w:r w:rsidRPr="009E7C9E">
        <w:rPr>
          <w:rFonts w:ascii="Times New Roman" w:hAnsi="Times New Roman"/>
          <w:sz w:val="28"/>
          <w:szCs w:val="28"/>
        </w:rPr>
        <w:t>нных Страт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 xml:space="preserve">ониторинговых групп проводятся по адресу одного из </w:t>
      </w:r>
      <w:r>
        <w:rPr>
          <w:rFonts w:ascii="Times New Roman" w:hAnsi="Times New Roman"/>
          <w:sz w:val="28"/>
          <w:szCs w:val="28"/>
        </w:rPr>
        <w:t xml:space="preserve">опорных </w:t>
      </w:r>
      <w:r w:rsidRPr="009E7C9E">
        <w:rPr>
          <w:rFonts w:ascii="Times New Roman" w:hAnsi="Times New Roman"/>
          <w:sz w:val="28"/>
          <w:szCs w:val="28"/>
        </w:rPr>
        <w:t>учреждений, за котор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е отвечает соответствующая </w:t>
      </w:r>
      <w:r>
        <w:rPr>
          <w:rFonts w:ascii="Times New Roman" w:hAnsi="Times New Roman"/>
          <w:sz w:val="28"/>
          <w:szCs w:val="28"/>
        </w:rPr>
        <w:t>г</w:t>
      </w:r>
      <w:r w:rsidRPr="009E7C9E">
        <w:rPr>
          <w:rFonts w:ascii="Times New Roman" w:hAnsi="Times New Roman"/>
          <w:sz w:val="28"/>
          <w:szCs w:val="28"/>
        </w:rPr>
        <w:t>руппа. На зас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даниях председательствует руководство принимающего учреждения, по </w:t>
      </w:r>
      <w:r>
        <w:rPr>
          <w:rFonts w:ascii="Times New Roman" w:hAnsi="Times New Roman"/>
          <w:sz w:val="28"/>
          <w:szCs w:val="28"/>
        </w:rPr>
        <w:t>должности</w:t>
      </w:r>
      <w:r w:rsidRPr="009E7C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период м</w:t>
      </w:r>
      <w:r w:rsidRPr="009E7C9E">
        <w:rPr>
          <w:rFonts w:ascii="Times New Roman" w:hAnsi="Times New Roman"/>
          <w:sz w:val="28"/>
          <w:szCs w:val="28"/>
        </w:rPr>
        <w:t xml:space="preserve">ежду заседаниями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, вплоть до следующего заседания, проводимого другим </w:t>
      </w:r>
      <w:r>
        <w:rPr>
          <w:rFonts w:ascii="Times New Roman" w:hAnsi="Times New Roman"/>
          <w:sz w:val="28"/>
          <w:szCs w:val="28"/>
        </w:rPr>
        <w:t>опорным учреждением</w:t>
      </w:r>
      <w:r w:rsidRPr="009E7C9E">
        <w:rPr>
          <w:rFonts w:ascii="Times New Roman" w:hAnsi="Times New Roman"/>
          <w:sz w:val="28"/>
          <w:szCs w:val="28"/>
        </w:rPr>
        <w:t>, мон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торинг котор</w:t>
      </w:r>
      <w:r>
        <w:rPr>
          <w:rFonts w:ascii="Times New Roman" w:hAnsi="Times New Roman"/>
          <w:sz w:val="28"/>
          <w:szCs w:val="28"/>
        </w:rPr>
        <w:t>ого</w:t>
      </w:r>
      <w:r w:rsidRPr="009E7C9E">
        <w:rPr>
          <w:rFonts w:ascii="Times New Roman" w:hAnsi="Times New Roman"/>
          <w:sz w:val="28"/>
          <w:szCs w:val="28"/>
        </w:rPr>
        <w:t xml:space="preserve"> осуществляет группа, председателем соответствующей группы считается р</w:t>
      </w:r>
      <w:r w:rsidRPr="009E7C9E">
        <w:rPr>
          <w:rFonts w:ascii="Times New Roman" w:hAnsi="Times New Roman"/>
          <w:sz w:val="28"/>
          <w:szCs w:val="28"/>
        </w:rPr>
        <w:t>у</w:t>
      </w:r>
      <w:r w:rsidRPr="009E7C9E">
        <w:rPr>
          <w:rFonts w:ascii="Times New Roman" w:hAnsi="Times New Roman"/>
          <w:sz w:val="28"/>
          <w:szCs w:val="28"/>
        </w:rPr>
        <w:t>ководитель учреждения, в котором проводилось последнее зас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дание.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Секретариат </w:t>
      </w:r>
      <w:r>
        <w:rPr>
          <w:rFonts w:ascii="Times New Roman" w:hAnsi="Times New Roman"/>
          <w:sz w:val="28"/>
          <w:szCs w:val="28"/>
        </w:rPr>
        <w:t xml:space="preserve">мониторинговых групп </w:t>
      </w:r>
      <w:r w:rsidRPr="009E7C9E">
        <w:rPr>
          <w:rFonts w:ascii="Times New Roman" w:hAnsi="Times New Roman"/>
          <w:sz w:val="28"/>
          <w:szCs w:val="28"/>
        </w:rPr>
        <w:t xml:space="preserve">заранее согласовывает с </w:t>
      </w:r>
      <w:r>
        <w:rPr>
          <w:rFonts w:ascii="Times New Roman" w:hAnsi="Times New Roman"/>
          <w:sz w:val="28"/>
          <w:szCs w:val="28"/>
        </w:rPr>
        <w:t>опорн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уч</w:t>
      </w:r>
      <w:r w:rsidRPr="009E7C9E">
        <w:rPr>
          <w:rFonts w:ascii="Times New Roman" w:hAnsi="Times New Roman"/>
          <w:sz w:val="28"/>
          <w:szCs w:val="28"/>
        </w:rPr>
        <w:t xml:space="preserve">реждениями проведение по их адресу каждого заседания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E7C9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десять</w:t>
      </w:r>
      <w:r w:rsidRPr="009E7C9E">
        <w:rPr>
          <w:rFonts w:ascii="Times New Roman" w:hAnsi="Times New Roman"/>
          <w:sz w:val="28"/>
          <w:szCs w:val="28"/>
        </w:rPr>
        <w:t xml:space="preserve"> дней до проведения заседания раздает всем членам </w:t>
      </w:r>
      <w:r>
        <w:rPr>
          <w:rFonts w:ascii="Times New Roman" w:hAnsi="Times New Roman"/>
          <w:sz w:val="28"/>
          <w:szCs w:val="28"/>
        </w:rPr>
        <w:t>г</w:t>
      </w:r>
      <w:r w:rsidRPr="009E7C9E">
        <w:rPr>
          <w:rFonts w:ascii="Times New Roman" w:hAnsi="Times New Roman"/>
          <w:sz w:val="28"/>
          <w:szCs w:val="28"/>
        </w:rPr>
        <w:t xml:space="preserve">руппы повестку дня, отчеты о мониторинге и оценке, </w:t>
      </w:r>
      <w:r>
        <w:rPr>
          <w:rFonts w:ascii="Times New Roman" w:hAnsi="Times New Roman"/>
          <w:sz w:val="28"/>
          <w:szCs w:val="28"/>
        </w:rPr>
        <w:t>другие</w:t>
      </w:r>
      <w:r w:rsidRPr="009E7C9E">
        <w:rPr>
          <w:rFonts w:ascii="Times New Roman" w:hAnsi="Times New Roman"/>
          <w:sz w:val="28"/>
          <w:szCs w:val="28"/>
        </w:rPr>
        <w:t xml:space="preserve"> материалы. Секретариат и учреждение, </w:t>
      </w:r>
      <w:r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 проводится</w:t>
      </w:r>
      <w:r w:rsidRPr="009E7C9E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группы, не поз</w:t>
      </w:r>
      <w:r>
        <w:rPr>
          <w:rFonts w:ascii="Times New Roman" w:hAnsi="Times New Roman"/>
          <w:sz w:val="28"/>
          <w:szCs w:val="28"/>
        </w:rPr>
        <w:t>дне</w:t>
      </w:r>
      <w:r w:rsidRPr="009E7C9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трех</w:t>
      </w:r>
      <w:r w:rsidRPr="009E7C9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до дня проведения заседания</w:t>
      </w:r>
      <w:r w:rsidRPr="002C4EEC"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размещают на веб-с</w:t>
      </w:r>
      <w:r>
        <w:rPr>
          <w:rFonts w:ascii="Times New Roman" w:hAnsi="Times New Roman"/>
          <w:sz w:val="28"/>
          <w:szCs w:val="28"/>
        </w:rPr>
        <w:t>траницах</w:t>
      </w:r>
      <w:r w:rsidRPr="009E7C9E">
        <w:rPr>
          <w:rFonts w:ascii="Times New Roman" w:hAnsi="Times New Roman"/>
          <w:sz w:val="28"/>
          <w:szCs w:val="28"/>
        </w:rPr>
        <w:t xml:space="preserve"> НЦБК и соответствующ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го учреждения объявление о проведении заседания. Заседания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ониторинговых групп явл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>ются открытыми.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E7C9E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ях</w:t>
      </w:r>
      <w:r w:rsidRPr="009E7C9E">
        <w:rPr>
          <w:rFonts w:ascii="Times New Roman" w:hAnsi="Times New Roman"/>
          <w:sz w:val="28"/>
          <w:szCs w:val="28"/>
        </w:rPr>
        <w:t xml:space="preserve"> заслушиваются отчеты о мониторинге и оценке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9E7C9E">
        <w:rPr>
          <w:rFonts w:ascii="Times New Roman" w:hAnsi="Times New Roman"/>
          <w:sz w:val="28"/>
          <w:szCs w:val="28"/>
        </w:rPr>
        <w:t xml:space="preserve"> Стратегии, представляемые вкратце Секретариатом</w:t>
      </w:r>
      <w:r>
        <w:rPr>
          <w:rFonts w:ascii="Times New Roman" w:hAnsi="Times New Roman"/>
          <w:sz w:val="28"/>
          <w:szCs w:val="28"/>
        </w:rPr>
        <w:t xml:space="preserve"> мониторинговых групп</w:t>
      </w:r>
      <w:r w:rsidRPr="009E7C9E">
        <w:rPr>
          <w:rFonts w:ascii="Times New Roman" w:hAnsi="Times New Roman"/>
          <w:sz w:val="28"/>
          <w:szCs w:val="28"/>
        </w:rPr>
        <w:t xml:space="preserve">. Представители </w:t>
      </w:r>
      <w:r>
        <w:rPr>
          <w:rFonts w:ascii="Times New Roman" w:hAnsi="Times New Roman"/>
          <w:sz w:val="28"/>
          <w:szCs w:val="28"/>
        </w:rPr>
        <w:t xml:space="preserve">опорных </w:t>
      </w:r>
      <w:r w:rsidRPr="009E7C9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деятельность которых была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ражена в отчете</w:t>
      </w:r>
      <w:r w:rsidRPr="009E7C9E">
        <w:rPr>
          <w:rFonts w:ascii="Times New Roman" w:hAnsi="Times New Roman"/>
          <w:sz w:val="28"/>
          <w:szCs w:val="28"/>
        </w:rPr>
        <w:t xml:space="preserve">, могут вносить дополнения и/или возражения </w:t>
      </w:r>
      <w:r w:rsidRPr="009E7C9E">
        <w:rPr>
          <w:rFonts w:ascii="Times New Roman" w:hAnsi="Times New Roman"/>
          <w:sz w:val="28"/>
          <w:szCs w:val="28"/>
        </w:rPr>
        <w:lastRenderedPageBreak/>
        <w:t>по отчету Се</w:t>
      </w:r>
      <w:r w:rsidRPr="009E7C9E">
        <w:rPr>
          <w:rFonts w:ascii="Times New Roman" w:hAnsi="Times New Roman"/>
          <w:sz w:val="28"/>
          <w:szCs w:val="28"/>
        </w:rPr>
        <w:t>к</w:t>
      </w:r>
      <w:r w:rsidRPr="009E7C9E">
        <w:rPr>
          <w:rFonts w:ascii="Times New Roman" w:hAnsi="Times New Roman"/>
          <w:sz w:val="28"/>
          <w:szCs w:val="28"/>
        </w:rPr>
        <w:t>ретариата</w:t>
      </w:r>
      <w:r>
        <w:rPr>
          <w:rFonts w:ascii="Times New Roman" w:hAnsi="Times New Roman"/>
          <w:sz w:val="28"/>
          <w:szCs w:val="28"/>
        </w:rPr>
        <w:t>.</w:t>
      </w:r>
      <w:r w:rsidRPr="009E7C9E">
        <w:rPr>
          <w:rFonts w:ascii="Times New Roman" w:hAnsi="Times New Roman"/>
          <w:sz w:val="28"/>
          <w:szCs w:val="28"/>
        </w:rPr>
        <w:t xml:space="preserve"> Представители гражданского общества могут подготовить и пре</w:t>
      </w:r>
      <w:r w:rsidRPr="009E7C9E"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ставить краткие отчеты в качестве альтернатив отчетам Секрет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риата.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После представления отчетов Секретариата, дополнений и возражений учреждений, участвующих в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>, и альтернативных отчетов гражда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ского общества, </w:t>
      </w: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 выделяет член</w:t>
      </w:r>
      <w:r>
        <w:rPr>
          <w:rFonts w:ascii="Times New Roman" w:hAnsi="Times New Roman"/>
          <w:sz w:val="28"/>
          <w:szCs w:val="28"/>
        </w:rPr>
        <w:t>ам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E7C9E">
        <w:rPr>
          <w:rFonts w:ascii="Times New Roman" w:hAnsi="Times New Roman"/>
          <w:sz w:val="28"/>
          <w:szCs w:val="28"/>
        </w:rPr>
        <w:t>ру</w:t>
      </w:r>
      <w:r w:rsidRPr="009E7C9E"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пы время для обсуждений, комментариев и дебатов, давая возможность учас</w:t>
      </w:r>
      <w:r w:rsidRPr="009E7C9E">
        <w:rPr>
          <w:rFonts w:ascii="Times New Roman" w:hAnsi="Times New Roman"/>
          <w:sz w:val="28"/>
          <w:szCs w:val="28"/>
        </w:rPr>
        <w:t>т</w:t>
      </w:r>
      <w:r w:rsidRPr="009E7C9E">
        <w:rPr>
          <w:rFonts w:ascii="Times New Roman" w:hAnsi="Times New Roman"/>
          <w:sz w:val="28"/>
          <w:szCs w:val="28"/>
        </w:rPr>
        <w:t xml:space="preserve">вовать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9E7C9E">
        <w:rPr>
          <w:rFonts w:ascii="Times New Roman" w:hAnsi="Times New Roman"/>
          <w:sz w:val="28"/>
          <w:szCs w:val="28"/>
        </w:rPr>
        <w:t>и другим лицам, приглашенным на заседание в качестве набл</w:t>
      </w:r>
      <w:r w:rsidRPr="009E7C9E">
        <w:rPr>
          <w:rFonts w:ascii="Times New Roman" w:hAnsi="Times New Roman"/>
          <w:sz w:val="28"/>
          <w:szCs w:val="28"/>
        </w:rPr>
        <w:t>ю</w:t>
      </w:r>
      <w:r w:rsidRPr="009E7C9E">
        <w:rPr>
          <w:rFonts w:ascii="Times New Roman" w:hAnsi="Times New Roman"/>
          <w:sz w:val="28"/>
          <w:szCs w:val="28"/>
        </w:rPr>
        <w:t>дателей, и остальным присутствующим.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</w:t>
      </w:r>
      <w:r w:rsidRPr="009E7C9E">
        <w:rPr>
          <w:rFonts w:ascii="Times New Roman" w:hAnsi="Times New Roman"/>
          <w:sz w:val="28"/>
          <w:szCs w:val="28"/>
        </w:rPr>
        <w:t xml:space="preserve">ониторинговой группы завершаются принятием </w:t>
      </w:r>
      <w:r>
        <w:rPr>
          <w:rFonts w:ascii="Times New Roman" w:hAnsi="Times New Roman"/>
          <w:sz w:val="28"/>
          <w:szCs w:val="28"/>
        </w:rPr>
        <w:t xml:space="preserve">членами группы </w:t>
      </w:r>
      <w:r w:rsidRPr="009E7C9E">
        <w:rPr>
          <w:rFonts w:ascii="Times New Roman" w:hAnsi="Times New Roman"/>
          <w:sz w:val="28"/>
          <w:szCs w:val="28"/>
        </w:rPr>
        <w:t xml:space="preserve">соответствующих решений, </w:t>
      </w:r>
      <w:r>
        <w:rPr>
          <w:rFonts w:ascii="Times New Roman" w:hAnsi="Times New Roman"/>
          <w:sz w:val="28"/>
          <w:szCs w:val="28"/>
        </w:rPr>
        <w:t>рекомендованных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9E7C9E">
        <w:rPr>
          <w:rFonts w:ascii="Times New Roman" w:hAnsi="Times New Roman"/>
          <w:sz w:val="28"/>
          <w:szCs w:val="28"/>
        </w:rPr>
        <w:t xml:space="preserve">или предложенных </w:t>
      </w:r>
      <w:r>
        <w:rPr>
          <w:rFonts w:ascii="Times New Roman" w:hAnsi="Times New Roman"/>
          <w:sz w:val="28"/>
          <w:szCs w:val="28"/>
        </w:rPr>
        <w:t>председателю любым членом г</w:t>
      </w:r>
      <w:r w:rsidRPr="009E7C9E">
        <w:rPr>
          <w:rFonts w:ascii="Times New Roman" w:hAnsi="Times New Roman"/>
          <w:sz w:val="28"/>
          <w:szCs w:val="28"/>
        </w:rPr>
        <w:t>руппы с целью улучшения результатов</w:t>
      </w:r>
      <w:r>
        <w:rPr>
          <w:rFonts w:ascii="Times New Roman" w:hAnsi="Times New Roman"/>
          <w:sz w:val="28"/>
          <w:szCs w:val="28"/>
        </w:rPr>
        <w:t xml:space="preserve"> реализации Стратегии. Решения м</w:t>
      </w:r>
      <w:r w:rsidRPr="009E7C9E">
        <w:rPr>
          <w:rFonts w:ascii="Times New Roman" w:hAnsi="Times New Roman"/>
          <w:sz w:val="28"/>
          <w:szCs w:val="28"/>
        </w:rPr>
        <w:t>ониторинговой группы приним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ются путем консенсуса</w:t>
      </w:r>
      <w:r>
        <w:rPr>
          <w:rFonts w:ascii="Times New Roman" w:hAnsi="Times New Roman"/>
          <w:sz w:val="28"/>
          <w:szCs w:val="28"/>
        </w:rPr>
        <w:t xml:space="preserve"> большинства членов м</w:t>
      </w:r>
      <w:r w:rsidRPr="009E7C9E">
        <w:rPr>
          <w:rFonts w:ascii="Times New Roman" w:hAnsi="Times New Roman"/>
          <w:sz w:val="28"/>
          <w:szCs w:val="28"/>
        </w:rPr>
        <w:t>ониторинговой группы, с пред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ставлением возможности высказаться членам группы, имеющим отличное мнение. Заседания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 являются правомочными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если в них принимает участие большинство членов. В случае принятия решений, представляющих интерес для широкой </w:t>
      </w:r>
      <w:r>
        <w:rPr>
          <w:rFonts w:ascii="Times New Roman" w:hAnsi="Times New Roman"/>
          <w:sz w:val="28"/>
          <w:szCs w:val="28"/>
        </w:rPr>
        <w:t xml:space="preserve">общественности </w:t>
      </w:r>
      <w:r w:rsidRPr="009E7C9E">
        <w:rPr>
          <w:rFonts w:ascii="Times New Roman" w:hAnsi="Times New Roman"/>
          <w:sz w:val="28"/>
          <w:szCs w:val="28"/>
        </w:rPr>
        <w:t xml:space="preserve">(предупреждение </w:t>
      </w:r>
      <w:r>
        <w:rPr>
          <w:rFonts w:ascii="Times New Roman" w:hAnsi="Times New Roman"/>
          <w:sz w:val="28"/>
          <w:szCs w:val="28"/>
        </w:rPr>
        <w:t>внедряющих</w:t>
      </w:r>
      <w:r w:rsidRPr="009E7C9E">
        <w:rPr>
          <w:rFonts w:ascii="Times New Roman" w:hAnsi="Times New Roman"/>
          <w:sz w:val="28"/>
          <w:szCs w:val="28"/>
        </w:rPr>
        <w:t xml:space="preserve"> учреждений, не осуществляющих или затягивающих осущест</w:t>
      </w:r>
      <w:r w:rsidRPr="009E7C9E">
        <w:rPr>
          <w:rFonts w:ascii="Times New Roman" w:hAnsi="Times New Roman"/>
          <w:sz w:val="28"/>
          <w:szCs w:val="28"/>
        </w:rPr>
        <w:t>в</w:t>
      </w:r>
      <w:r w:rsidRPr="009E7C9E">
        <w:rPr>
          <w:rFonts w:ascii="Times New Roman" w:hAnsi="Times New Roman"/>
          <w:sz w:val="28"/>
          <w:szCs w:val="28"/>
        </w:rPr>
        <w:t>ление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9E7C9E">
        <w:rPr>
          <w:rFonts w:ascii="Times New Roman" w:hAnsi="Times New Roman"/>
          <w:sz w:val="28"/>
          <w:szCs w:val="28"/>
        </w:rPr>
        <w:t xml:space="preserve"> Стратегией мер, прочи</w:t>
      </w:r>
      <w:r>
        <w:rPr>
          <w:rFonts w:ascii="Times New Roman" w:hAnsi="Times New Roman"/>
          <w:sz w:val="28"/>
          <w:szCs w:val="28"/>
        </w:rPr>
        <w:t>х</w:t>
      </w:r>
      <w:r w:rsidRPr="009E7C9E">
        <w:rPr>
          <w:rFonts w:ascii="Times New Roman" w:hAnsi="Times New Roman"/>
          <w:sz w:val="28"/>
          <w:szCs w:val="28"/>
        </w:rPr>
        <w:t xml:space="preserve"> мер, пред</w:t>
      </w:r>
      <w:r>
        <w:rPr>
          <w:rFonts w:ascii="Times New Roman" w:hAnsi="Times New Roman"/>
          <w:sz w:val="28"/>
          <w:szCs w:val="28"/>
        </w:rPr>
        <w:t>писанных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опорным </w:t>
      </w:r>
      <w:r w:rsidRPr="009E7C9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</w:t>
      </w:r>
      <w:r w:rsidRPr="009E7C9E">
        <w:rPr>
          <w:rFonts w:ascii="Times New Roman" w:hAnsi="Times New Roman"/>
          <w:sz w:val="28"/>
          <w:szCs w:val="28"/>
        </w:rPr>
        <w:t>, мониторингом деятельности которых занимается соответ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ющая группа), п</w:t>
      </w:r>
      <w:r w:rsidRPr="009E7C9E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 выступает с заявлением перед представителями средств массовой информации.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Секретариат </w:t>
      </w:r>
      <w:r w:rsidRPr="009E7C9E">
        <w:rPr>
          <w:rFonts w:ascii="Times New Roman" w:hAnsi="Times New Roman"/>
          <w:b/>
          <w:bCs/>
          <w:sz w:val="28"/>
          <w:szCs w:val="28"/>
        </w:rPr>
        <w:t>мониторинговых групп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780CB6">
        <w:rPr>
          <w:rFonts w:ascii="Times New Roman" w:hAnsi="Times New Roman"/>
          <w:i/>
          <w:sz w:val="28"/>
          <w:szCs w:val="28"/>
        </w:rPr>
        <w:t>Секретариат</w:t>
      </w:r>
      <w:r>
        <w:rPr>
          <w:rFonts w:ascii="Times New Roman" w:hAnsi="Times New Roman"/>
          <w:sz w:val="28"/>
          <w:szCs w:val="28"/>
        </w:rPr>
        <w:t>)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 w:rsidRPr="009E7C9E">
        <w:rPr>
          <w:rFonts w:ascii="Times New Roman" w:hAnsi="Times New Roman"/>
          <w:sz w:val="28"/>
          <w:szCs w:val="28"/>
        </w:rPr>
        <w:t xml:space="preserve"> НЦБК </w:t>
      </w:r>
      <w:r>
        <w:rPr>
          <w:rFonts w:ascii="Times New Roman" w:hAnsi="Times New Roman"/>
          <w:sz w:val="28"/>
          <w:szCs w:val="28"/>
        </w:rPr>
        <w:t xml:space="preserve">и обеспечивает делопроизводство мониторинговых групп. </w:t>
      </w:r>
      <w:r w:rsidRPr="009E7C9E">
        <w:rPr>
          <w:rFonts w:ascii="Times New Roman" w:hAnsi="Times New Roman"/>
          <w:sz w:val="28"/>
          <w:szCs w:val="28"/>
        </w:rPr>
        <w:t>Обязанн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сти Секретариата: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 xml:space="preserve">ведение учета членов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</w:t>
      </w:r>
      <w:r>
        <w:rPr>
          <w:rFonts w:ascii="Times New Roman" w:hAnsi="Times New Roman"/>
          <w:sz w:val="28"/>
          <w:szCs w:val="28"/>
        </w:rPr>
        <w:t>ых</w:t>
      </w:r>
      <w:r w:rsidRPr="009E7C9E">
        <w:rPr>
          <w:rFonts w:ascii="Times New Roman" w:hAnsi="Times New Roman"/>
          <w:sz w:val="28"/>
          <w:szCs w:val="28"/>
        </w:rPr>
        <w:t xml:space="preserve"> групп;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заседаний м</w:t>
      </w:r>
      <w:r w:rsidRPr="009E7C9E">
        <w:rPr>
          <w:rFonts w:ascii="Times New Roman" w:hAnsi="Times New Roman"/>
          <w:sz w:val="28"/>
          <w:szCs w:val="28"/>
        </w:rPr>
        <w:t>ониторинговых групп;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составление проток</w:t>
      </w:r>
      <w:r>
        <w:rPr>
          <w:rFonts w:ascii="Times New Roman" w:hAnsi="Times New Roman"/>
          <w:sz w:val="28"/>
          <w:szCs w:val="28"/>
        </w:rPr>
        <w:t>олов заседаний и распоряжений м</w:t>
      </w:r>
      <w:r w:rsidRPr="009E7C9E">
        <w:rPr>
          <w:rFonts w:ascii="Times New Roman" w:hAnsi="Times New Roman"/>
          <w:sz w:val="28"/>
          <w:szCs w:val="28"/>
        </w:rPr>
        <w:t>ониторинговых групп;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сбор, хранение и обобщение информации, предоставляемой </w:t>
      </w:r>
      <w:r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вующими в реализации</w:t>
      </w:r>
      <w:r w:rsidRPr="009E7C9E">
        <w:rPr>
          <w:rFonts w:ascii="Times New Roman" w:hAnsi="Times New Roman"/>
          <w:sz w:val="28"/>
          <w:szCs w:val="28"/>
        </w:rPr>
        <w:t xml:space="preserve"> учреждениями;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полугодовых и годовых отчетов м</w:t>
      </w:r>
      <w:r w:rsidRPr="009E7C9E">
        <w:rPr>
          <w:rFonts w:ascii="Times New Roman" w:hAnsi="Times New Roman"/>
          <w:sz w:val="28"/>
          <w:szCs w:val="28"/>
        </w:rPr>
        <w:t>ониторинговых групп о реализации действий, запланированных для каждо</w:t>
      </w:r>
      <w:r>
        <w:rPr>
          <w:rFonts w:ascii="Times New Roman" w:hAnsi="Times New Roman"/>
          <w:sz w:val="28"/>
          <w:szCs w:val="28"/>
        </w:rPr>
        <w:t>й</w:t>
      </w:r>
      <w:r w:rsidRPr="009E7C9E">
        <w:rPr>
          <w:rFonts w:ascii="Times New Roman" w:hAnsi="Times New Roman"/>
          <w:sz w:val="28"/>
          <w:szCs w:val="28"/>
        </w:rPr>
        <w:t xml:space="preserve"> опор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 Страт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гии; 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разработка проектов годовых отчетов о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Стратегии; </w:t>
      </w:r>
    </w:p>
    <w:p w:rsidR="0019475D" w:rsidRPr="009E7C9E" w:rsidRDefault="0019475D" w:rsidP="0019475D">
      <w:pPr>
        <w:pStyle w:val="ListParagraph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прочие обязанности, в дополнение к </w:t>
      </w:r>
      <w:proofErr w:type="gramStart"/>
      <w:r w:rsidRPr="009E7C9E">
        <w:rPr>
          <w:rFonts w:ascii="Times New Roman" w:hAnsi="Times New Roman"/>
          <w:sz w:val="28"/>
          <w:szCs w:val="28"/>
        </w:rPr>
        <w:t>вышеперечисленным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Публичные </w:t>
      </w:r>
      <w:r>
        <w:rPr>
          <w:rFonts w:ascii="Times New Roman" w:hAnsi="Times New Roman"/>
          <w:sz w:val="28"/>
          <w:szCs w:val="28"/>
        </w:rPr>
        <w:t>субъекты</w:t>
      </w:r>
      <w:r w:rsidRPr="009E7C9E">
        <w:rPr>
          <w:rFonts w:ascii="Times New Roman" w:hAnsi="Times New Roman"/>
          <w:sz w:val="28"/>
          <w:szCs w:val="28"/>
        </w:rPr>
        <w:t xml:space="preserve"> представляют Секретариату в письменном виде и по электронной почте информацию, необходимую для мон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торинга и оценки </w:t>
      </w:r>
      <w:r w:rsidRPr="009E7C9E">
        <w:rPr>
          <w:rFonts w:ascii="Times New Roman" w:hAnsi="Times New Roman"/>
          <w:sz w:val="28"/>
          <w:szCs w:val="28"/>
        </w:rPr>
        <w:lastRenderedPageBreak/>
        <w:t>осуществления запланированн</w:t>
      </w:r>
      <w:r>
        <w:rPr>
          <w:rFonts w:ascii="Times New Roman" w:hAnsi="Times New Roman"/>
          <w:sz w:val="28"/>
          <w:szCs w:val="28"/>
        </w:rPr>
        <w:t>ых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Pr="009E7C9E">
        <w:rPr>
          <w:rFonts w:ascii="Times New Roman" w:hAnsi="Times New Roman"/>
          <w:sz w:val="28"/>
          <w:szCs w:val="28"/>
        </w:rPr>
        <w:t>, за которые они несут ответстве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 xml:space="preserve">ность, в сроки, предусмотренные планами действий. В ходе первого года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Секретариат разработает электронную платформу для отчета о результатах, к которой будут подключены все публичные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</w:t>
      </w:r>
      <w:r w:rsidRPr="009E7C9E">
        <w:rPr>
          <w:rFonts w:ascii="Times New Roman" w:hAnsi="Times New Roman"/>
          <w:sz w:val="28"/>
          <w:szCs w:val="28"/>
        </w:rPr>
        <w:t>/ответственные учреждения. Правительство будет содействовать, при нео</w:t>
      </w:r>
      <w:r w:rsidRPr="009E7C9E">
        <w:rPr>
          <w:rFonts w:ascii="Times New Roman" w:hAnsi="Times New Roman"/>
          <w:sz w:val="28"/>
          <w:szCs w:val="28"/>
        </w:rPr>
        <w:t>б</w:t>
      </w:r>
      <w:r w:rsidRPr="009E7C9E">
        <w:rPr>
          <w:rFonts w:ascii="Times New Roman" w:hAnsi="Times New Roman"/>
          <w:sz w:val="28"/>
          <w:szCs w:val="28"/>
        </w:rPr>
        <w:t>ходимости, выдаче дополнительн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9E7C9E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ых</w:t>
      </w:r>
      <w:r w:rsidRPr="009E7C9E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учреждениям, у которых такая подпись уже есть, а также тем, у которых ее нет.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Отчеты о мониторинге и оценке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9E7C9E">
        <w:rPr>
          <w:rFonts w:ascii="Times New Roman" w:hAnsi="Times New Roman"/>
          <w:b/>
          <w:bCs/>
          <w:sz w:val="28"/>
          <w:szCs w:val="28"/>
        </w:rPr>
        <w:t xml:space="preserve"> Стратегии</w:t>
      </w:r>
      <w:r w:rsidRPr="009E7C9E">
        <w:rPr>
          <w:rFonts w:ascii="Times New Roman" w:hAnsi="Times New Roman"/>
          <w:sz w:val="28"/>
          <w:szCs w:val="28"/>
        </w:rPr>
        <w:t xml:space="preserve"> составляю</w:t>
      </w:r>
      <w:r w:rsidRPr="009E7C9E">
        <w:rPr>
          <w:rFonts w:ascii="Times New Roman" w:hAnsi="Times New Roman"/>
          <w:sz w:val="28"/>
          <w:szCs w:val="28"/>
        </w:rPr>
        <w:t>т</w:t>
      </w:r>
      <w:r w:rsidRPr="009E7C9E">
        <w:rPr>
          <w:rFonts w:ascii="Times New Roman" w:hAnsi="Times New Roman"/>
          <w:sz w:val="28"/>
          <w:szCs w:val="28"/>
        </w:rPr>
        <w:t xml:space="preserve">ся Секретариатом не позже, чем за </w:t>
      </w:r>
      <w:r>
        <w:rPr>
          <w:rFonts w:ascii="Times New Roman" w:hAnsi="Times New Roman"/>
          <w:sz w:val="28"/>
          <w:szCs w:val="28"/>
        </w:rPr>
        <w:t>две</w:t>
      </w:r>
      <w:r w:rsidRPr="009E7C9E">
        <w:rPr>
          <w:rFonts w:ascii="Times New Roman" w:hAnsi="Times New Roman"/>
          <w:sz w:val="28"/>
          <w:szCs w:val="28"/>
        </w:rPr>
        <w:t xml:space="preserve"> недели до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E7C9E">
        <w:rPr>
          <w:rFonts w:ascii="Times New Roman" w:hAnsi="Times New Roman"/>
          <w:sz w:val="28"/>
          <w:szCs w:val="28"/>
        </w:rPr>
        <w:t xml:space="preserve">заседаний мониторинговых групп, на которых такие отчеты публично заслушиваются. Отчеты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9E7C9E">
        <w:rPr>
          <w:rFonts w:ascii="Times New Roman" w:hAnsi="Times New Roman"/>
          <w:sz w:val="28"/>
          <w:szCs w:val="28"/>
        </w:rPr>
        <w:t>соде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>жат</w:t>
      </w:r>
      <w:r>
        <w:rPr>
          <w:rFonts w:ascii="Times New Roman" w:hAnsi="Times New Roman"/>
          <w:sz w:val="28"/>
          <w:szCs w:val="28"/>
        </w:rPr>
        <w:t>ь</w:t>
      </w:r>
      <w:r w:rsidRPr="009E7C9E">
        <w:rPr>
          <w:rFonts w:ascii="Times New Roman" w:hAnsi="Times New Roman"/>
          <w:sz w:val="28"/>
          <w:szCs w:val="28"/>
        </w:rPr>
        <w:t>: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сводное резюме основных </w:t>
      </w:r>
      <w:r>
        <w:rPr>
          <w:rFonts w:ascii="Times New Roman" w:hAnsi="Times New Roman"/>
          <w:sz w:val="28"/>
          <w:szCs w:val="28"/>
        </w:rPr>
        <w:t>констатаций</w:t>
      </w:r>
      <w:r w:rsidRPr="009E7C9E">
        <w:rPr>
          <w:rFonts w:ascii="Times New Roman" w:hAnsi="Times New Roman"/>
          <w:sz w:val="28"/>
          <w:szCs w:val="28"/>
        </w:rPr>
        <w:t xml:space="preserve"> отчета;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описание результатов, достигнутых учреждениями, ответственными за реализацию действий, срок реализации которых уже </w:t>
      </w:r>
      <w:r>
        <w:rPr>
          <w:rFonts w:ascii="Times New Roman" w:hAnsi="Times New Roman"/>
          <w:sz w:val="28"/>
          <w:szCs w:val="28"/>
        </w:rPr>
        <w:t>наступил</w:t>
      </w:r>
      <w:r w:rsidRPr="009E7C9E">
        <w:rPr>
          <w:rFonts w:ascii="Times New Roman" w:hAnsi="Times New Roman"/>
          <w:sz w:val="28"/>
          <w:szCs w:val="28"/>
        </w:rPr>
        <w:t>, а также достижение показа</w:t>
      </w:r>
      <w:r>
        <w:rPr>
          <w:rFonts w:ascii="Times New Roman" w:hAnsi="Times New Roman"/>
          <w:sz w:val="28"/>
          <w:szCs w:val="28"/>
        </w:rPr>
        <w:t>телей прогресса – согласно опора</w:t>
      </w:r>
      <w:r w:rsidRPr="009E7C9E">
        <w:rPr>
          <w:rFonts w:ascii="Times New Roman" w:hAnsi="Times New Roman"/>
          <w:sz w:val="28"/>
          <w:szCs w:val="28"/>
        </w:rPr>
        <w:t>м, в отношении которых с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ставлен отчет;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оценка количественных результатов с целью достижения ожида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мых результатов и показателей результатов приоритетов – согласно опор</w:t>
      </w:r>
      <w:r>
        <w:rPr>
          <w:rFonts w:ascii="Times New Roman" w:hAnsi="Times New Roman"/>
          <w:sz w:val="28"/>
          <w:szCs w:val="28"/>
        </w:rPr>
        <w:t>ам</w:t>
      </w:r>
      <w:r w:rsidRPr="009E7C9E">
        <w:rPr>
          <w:rFonts w:ascii="Times New Roman" w:hAnsi="Times New Roman"/>
          <w:sz w:val="28"/>
          <w:szCs w:val="28"/>
        </w:rPr>
        <w:t>, в отношении кот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рых составлен отчет;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описание рисков в деятельности ответственных учреждений, кот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рые могут привести </w:t>
      </w:r>
      <w:r>
        <w:rPr>
          <w:rFonts w:ascii="Times New Roman" w:hAnsi="Times New Roman"/>
          <w:sz w:val="28"/>
          <w:szCs w:val="28"/>
        </w:rPr>
        <w:t>к</w:t>
      </w:r>
      <w:r w:rsidRPr="009E7C9E">
        <w:rPr>
          <w:rFonts w:ascii="Times New Roman" w:hAnsi="Times New Roman"/>
          <w:sz w:val="28"/>
          <w:szCs w:val="28"/>
        </w:rPr>
        <w:t xml:space="preserve"> затягиванию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9E7C9E">
        <w:rPr>
          <w:rFonts w:ascii="Times New Roman" w:hAnsi="Times New Roman"/>
          <w:sz w:val="28"/>
          <w:szCs w:val="28"/>
        </w:rPr>
        <w:t xml:space="preserve"> действий, срок реализации к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торых еще не </w:t>
      </w:r>
      <w:r>
        <w:rPr>
          <w:rFonts w:ascii="Times New Roman" w:hAnsi="Times New Roman"/>
          <w:sz w:val="28"/>
          <w:szCs w:val="28"/>
        </w:rPr>
        <w:t>наступил</w:t>
      </w:r>
      <w:r w:rsidRPr="009E7C9E">
        <w:rPr>
          <w:rFonts w:ascii="Times New Roman" w:hAnsi="Times New Roman"/>
          <w:sz w:val="28"/>
          <w:szCs w:val="28"/>
        </w:rPr>
        <w:t>;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выводы и рекомендации.</w:t>
      </w:r>
    </w:p>
    <w:p w:rsidR="0019475D" w:rsidRPr="009E7C9E" w:rsidRDefault="0019475D" w:rsidP="00194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Годовые отчеты и итоговый отчет дополнительно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9E7C9E"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hAnsi="Times New Roman"/>
          <w:sz w:val="28"/>
          <w:szCs w:val="28"/>
        </w:rPr>
        <w:t>ь</w:t>
      </w:r>
      <w:r w:rsidRPr="009356C0"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также: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отражение показателей </w:t>
      </w:r>
      <w:r>
        <w:rPr>
          <w:rFonts w:ascii="Times New Roman" w:hAnsi="Times New Roman"/>
          <w:sz w:val="28"/>
          <w:szCs w:val="28"/>
        </w:rPr>
        <w:t>результативности</w:t>
      </w:r>
      <w:r w:rsidRPr="009E7C9E">
        <w:rPr>
          <w:rFonts w:ascii="Times New Roman" w:hAnsi="Times New Roman"/>
          <w:sz w:val="28"/>
          <w:szCs w:val="28"/>
        </w:rPr>
        <w:t>, показателей общих задач и цели Стратегии, согласно опросу для оценки результатов Стратегии;</w:t>
      </w:r>
    </w:p>
    <w:p w:rsidR="0019475D" w:rsidRPr="009E7C9E" w:rsidRDefault="0019475D" w:rsidP="0019475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отражение показателей </w:t>
      </w:r>
      <w:r>
        <w:rPr>
          <w:rFonts w:ascii="Times New Roman" w:hAnsi="Times New Roman"/>
          <w:sz w:val="28"/>
          <w:szCs w:val="28"/>
        </w:rPr>
        <w:t>результативности</w:t>
      </w:r>
      <w:r w:rsidRPr="009E7C9E">
        <w:rPr>
          <w:rFonts w:ascii="Times New Roman" w:hAnsi="Times New Roman"/>
          <w:sz w:val="28"/>
          <w:szCs w:val="28"/>
        </w:rPr>
        <w:t xml:space="preserve"> Стратегии в альтернати</w:t>
      </w:r>
      <w:r w:rsidRPr="009E7C9E">
        <w:rPr>
          <w:rFonts w:ascii="Times New Roman" w:hAnsi="Times New Roman"/>
          <w:sz w:val="28"/>
          <w:szCs w:val="28"/>
        </w:rPr>
        <w:t>в</w:t>
      </w:r>
      <w:r w:rsidRPr="009E7C9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9E7C9E">
        <w:rPr>
          <w:rFonts w:ascii="Times New Roman" w:hAnsi="Times New Roman"/>
          <w:sz w:val="28"/>
          <w:szCs w:val="28"/>
        </w:rPr>
        <w:t xml:space="preserve"> источника</w:t>
      </w:r>
      <w:r>
        <w:rPr>
          <w:rFonts w:ascii="Times New Roman" w:hAnsi="Times New Roman"/>
          <w:sz w:val="28"/>
          <w:szCs w:val="28"/>
        </w:rPr>
        <w:t>х</w:t>
      </w:r>
      <w:r w:rsidRPr="009E7C9E">
        <w:rPr>
          <w:rFonts w:ascii="Times New Roman" w:hAnsi="Times New Roman"/>
          <w:sz w:val="28"/>
          <w:szCs w:val="28"/>
        </w:rPr>
        <w:t xml:space="preserve"> (прочие опросы, проводимые неправительственными организациями, национальными и международными организаци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 xml:space="preserve">ми).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Альтернативными источниками для отражения показателей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и их контрольными значениями на начало ее внедрения считаются показатели, включенные в </w:t>
      </w:r>
      <w:r>
        <w:rPr>
          <w:rFonts w:ascii="Times New Roman" w:hAnsi="Times New Roman"/>
          <w:sz w:val="28"/>
          <w:szCs w:val="28"/>
        </w:rPr>
        <w:t>Ш</w:t>
      </w:r>
      <w:r w:rsidRPr="009E7C9E">
        <w:rPr>
          <w:rFonts w:ascii="Times New Roman" w:hAnsi="Times New Roman"/>
          <w:sz w:val="28"/>
          <w:szCs w:val="28"/>
        </w:rPr>
        <w:t xml:space="preserve">калу оценки результатов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утвержде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Парламентом</w:t>
      </w:r>
      <w:r w:rsidRPr="00C279D8">
        <w:rPr>
          <w:rFonts w:ascii="Times New Roman" w:hAnsi="Times New Roman"/>
          <w:sz w:val="28"/>
          <w:szCs w:val="28"/>
        </w:rPr>
        <w:t xml:space="preserve"> </w:t>
      </w:r>
      <w:r w:rsidRPr="009E7C9E">
        <w:rPr>
          <w:rFonts w:ascii="Times New Roman" w:hAnsi="Times New Roman"/>
          <w:sz w:val="28"/>
          <w:szCs w:val="28"/>
        </w:rPr>
        <w:t>Стратегии.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о</w:t>
      </w:r>
      <w:r w:rsidRPr="009E7C9E">
        <w:rPr>
          <w:rFonts w:ascii="Times New Roman" w:hAnsi="Times New Roman"/>
          <w:sz w:val="28"/>
          <w:szCs w:val="28"/>
        </w:rPr>
        <w:t xml:space="preserve">тчет об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составляется Секрет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риатом и заполняется независимым внешним </w:t>
      </w:r>
      <w:r>
        <w:rPr>
          <w:rFonts w:ascii="Times New Roman" w:hAnsi="Times New Roman"/>
          <w:sz w:val="28"/>
          <w:szCs w:val="28"/>
        </w:rPr>
        <w:t>оценщиком</w:t>
      </w:r>
      <w:r w:rsidRPr="009E7C9E">
        <w:rPr>
          <w:rFonts w:ascii="Times New Roman" w:hAnsi="Times New Roman"/>
          <w:sz w:val="28"/>
          <w:szCs w:val="28"/>
        </w:rPr>
        <w:t>, который дает со</w:t>
      </w:r>
      <w:r w:rsidRPr="009E7C9E">
        <w:rPr>
          <w:rFonts w:ascii="Times New Roman" w:hAnsi="Times New Roman"/>
          <w:sz w:val="28"/>
          <w:szCs w:val="28"/>
        </w:rPr>
        <w:t>б</w:t>
      </w:r>
      <w:r w:rsidRPr="009E7C9E">
        <w:rPr>
          <w:rFonts w:ascii="Times New Roman" w:hAnsi="Times New Roman"/>
          <w:sz w:val="28"/>
          <w:szCs w:val="28"/>
        </w:rPr>
        <w:t>ственную оценку полученным данным, исходя из альтернативных отчетов гражданского общества, других соответствующих национальных и междун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родных оценок и выводов. Независимый внешний оценщик будет </w:t>
      </w:r>
      <w:r>
        <w:rPr>
          <w:rFonts w:ascii="Times New Roman" w:hAnsi="Times New Roman"/>
          <w:sz w:val="28"/>
          <w:szCs w:val="28"/>
        </w:rPr>
        <w:lastRenderedPageBreak/>
        <w:t>ото</w:t>
      </w:r>
      <w:r w:rsidRPr="009E7C9E">
        <w:rPr>
          <w:rFonts w:ascii="Times New Roman" w:hAnsi="Times New Roman"/>
          <w:sz w:val="28"/>
          <w:szCs w:val="28"/>
        </w:rPr>
        <w:t xml:space="preserve">бран на основе открытого конкурса, объявленного Парламентом. </w:t>
      </w:r>
      <w:r>
        <w:rPr>
          <w:rFonts w:ascii="Times New Roman" w:hAnsi="Times New Roman"/>
          <w:sz w:val="28"/>
          <w:szCs w:val="28"/>
        </w:rPr>
        <w:t>Итоговый о</w:t>
      </w:r>
      <w:r w:rsidRPr="009E7C9E">
        <w:rPr>
          <w:rFonts w:ascii="Times New Roman" w:hAnsi="Times New Roman"/>
          <w:sz w:val="28"/>
          <w:szCs w:val="28"/>
        </w:rPr>
        <w:t xml:space="preserve">тчет об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будет заслушан на пленарном заседании Парл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мента </w:t>
      </w:r>
      <w:r>
        <w:rPr>
          <w:rFonts w:ascii="Times New Roman" w:hAnsi="Times New Roman"/>
          <w:sz w:val="28"/>
          <w:szCs w:val="28"/>
        </w:rPr>
        <w:t>с принятием</w:t>
      </w:r>
      <w:r w:rsidRPr="009E7C9E">
        <w:rPr>
          <w:rFonts w:ascii="Times New Roman" w:hAnsi="Times New Roman"/>
          <w:sz w:val="28"/>
          <w:szCs w:val="28"/>
        </w:rPr>
        <w:t xml:space="preserve"> по нему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Все отчеты о мониторинге и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публикую</w:t>
      </w:r>
      <w:r w:rsidRPr="009E7C9E">
        <w:rPr>
          <w:rFonts w:ascii="Times New Roman" w:hAnsi="Times New Roman"/>
          <w:sz w:val="28"/>
          <w:szCs w:val="28"/>
        </w:rPr>
        <w:t>т</w:t>
      </w:r>
      <w:r w:rsidRPr="009E7C9E">
        <w:rPr>
          <w:rFonts w:ascii="Times New Roman" w:hAnsi="Times New Roman"/>
          <w:sz w:val="28"/>
          <w:szCs w:val="28"/>
        </w:rPr>
        <w:t>ся на веб-с</w:t>
      </w:r>
      <w:r>
        <w:rPr>
          <w:rFonts w:ascii="Times New Roman" w:hAnsi="Times New Roman"/>
          <w:sz w:val="28"/>
          <w:szCs w:val="28"/>
        </w:rPr>
        <w:t xml:space="preserve">транице </w:t>
      </w:r>
      <w:r w:rsidRPr="009E7C9E">
        <w:rPr>
          <w:rFonts w:ascii="Times New Roman" w:hAnsi="Times New Roman"/>
          <w:sz w:val="28"/>
          <w:szCs w:val="28"/>
        </w:rPr>
        <w:t xml:space="preserve">НЦБК. </w:t>
      </w:r>
      <w:proofErr w:type="gramStart"/>
      <w:r>
        <w:rPr>
          <w:rFonts w:ascii="Times New Roman" w:hAnsi="Times New Roman"/>
          <w:sz w:val="28"/>
          <w:szCs w:val="28"/>
        </w:rPr>
        <w:t>Опорные у</w:t>
      </w:r>
      <w:r w:rsidRPr="009E7C9E">
        <w:rPr>
          <w:rFonts w:ascii="Times New Roman" w:hAnsi="Times New Roman"/>
          <w:sz w:val="28"/>
          <w:szCs w:val="28"/>
        </w:rPr>
        <w:t>чреждения публикуют на своих веб-с</w:t>
      </w:r>
      <w:r>
        <w:rPr>
          <w:rFonts w:ascii="Times New Roman" w:hAnsi="Times New Roman"/>
          <w:sz w:val="28"/>
          <w:szCs w:val="28"/>
        </w:rPr>
        <w:t>траницах</w:t>
      </w:r>
      <w:r w:rsidRPr="009E7C9E">
        <w:rPr>
          <w:rFonts w:ascii="Times New Roman" w:hAnsi="Times New Roman"/>
          <w:sz w:val="28"/>
          <w:szCs w:val="28"/>
        </w:rPr>
        <w:t xml:space="preserve"> отчеты о мониторинге и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или только те из них, которые имеют отношение к их де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 xml:space="preserve">тельности. </w:t>
      </w:r>
      <w:proofErr w:type="gramEnd"/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ставители гражданского общества–члены м</w:t>
      </w:r>
      <w:r w:rsidRPr="009E7C9E">
        <w:rPr>
          <w:rFonts w:ascii="Times New Roman" w:hAnsi="Times New Roman"/>
          <w:sz w:val="28"/>
          <w:szCs w:val="28"/>
        </w:rPr>
        <w:t xml:space="preserve">ониторинговых групп могут составлять отчеты, альтернативные </w:t>
      </w:r>
      <w:r>
        <w:rPr>
          <w:rFonts w:ascii="Times New Roman" w:hAnsi="Times New Roman"/>
          <w:sz w:val="28"/>
          <w:szCs w:val="28"/>
        </w:rPr>
        <w:t xml:space="preserve">по отношению к </w:t>
      </w:r>
      <w:r w:rsidRPr="009E7C9E">
        <w:rPr>
          <w:rFonts w:ascii="Times New Roman" w:hAnsi="Times New Roman"/>
          <w:sz w:val="28"/>
          <w:szCs w:val="28"/>
        </w:rPr>
        <w:t>отчетам о монит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ринге и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Стратегии, на основе собственного монитори</w:t>
      </w:r>
      <w:r w:rsidRPr="009E7C9E">
        <w:rPr>
          <w:rFonts w:ascii="Times New Roman" w:hAnsi="Times New Roman"/>
          <w:sz w:val="28"/>
          <w:szCs w:val="28"/>
        </w:rPr>
        <w:t>н</w:t>
      </w:r>
      <w:r w:rsidRPr="009E7C9E">
        <w:rPr>
          <w:rFonts w:ascii="Times New Roman" w:hAnsi="Times New Roman"/>
          <w:sz w:val="28"/>
          <w:szCs w:val="28"/>
        </w:rPr>
        <w:t>га или мониторинга, осуществленного другими неправительственными орган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 xml:space="preserve">зациями, и представлять их на заседании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группы, на к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тором заслушиваются результаты, достигнутые за соответствующий отчетный пер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од. Альтернативные отчеты также публикуются на веб-с</w:t>
      </w:r>
      <w:r>
        <w:rPr>
          <w:rFonts w:ascii="Times New Roman" w:hAnsi="Times New Roman"/>
          <w:sz w:val="28"/>
          <w:szCs w:val="28"/>
        </w:rPr>
        <w:t xml:space="preserve">траницах </w:t>
      </w:r>
      <w:r w:rsidRPr="009E7C9E">
        <w:rPr>
          <w:rFonts w:ascii="Times New Roman" w:hAnsi="Times New Roman"/>
          <w:sz w:val="28"/>
          <w:szCs w:val="28"/>
        </w:rPr>
        <w:t>НЦБК вместе с отчетами Секр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тариата.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 xml:space="preserve">Опрос для отслеживания результатов внедрения Стратегии </w:t>
      </w:r>
      <w:r w:rsidRPr="009E7C9E">
        <w:rPr>
          <w:rFonts w:ascii="Times New Roman" w:hAnsi="Times New Roman"/>
          <w:sz w:val="28"/>
          <w:szCs w:val="28"/>
        </w:rPr>
        <w:t>пров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дится Секретариатом в начале </w:t>
      </w:r>
      <w:r>
        <w:rPr>
          <w:rFonts w:ascii="Times New Roman" w:hAnsi="Times New Roman"/>
          <w:sz w:val="28"/>
          <w:szCs w:val="28"/>
        </w:rPr>
        <w:t>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 для фиксирования начальных значений показателей влияния опор Стратегии, показателей о</w:t>
      </w:r>
      <w:r w:rsidRPr="009E7C9E">
        <w:rPr>
          <w:rFonts w:ascii="Times New Roman" w:hAnsi="Times New Roman"/>
          <w:sz w:val="28"/>
          <w:szCs w:val="28"/>
        </w:rPr>
        <w:t>б</w:t>
      </w:r>
      <w:r w:rsidRPr="009E7C9E">
        <w:rPr>
          <w:rFonts w:ascii="Times New Roman" w:hAnsi="Times New Roman"/>
          <w:sz w:val="28"/>
          <w:szCs w:val="28"/>
        </w:rPr>
        <w:t>щих задач и цели Стратегии, а затем – ежегодно. Данные, полученные в ходе ка</w:t>
      </w:r>
      <w:r w:rsidRPr="009E7C9E">
        <w:rPr>
          <w:rFonts w:ascii="Times New Roman" w:hAnsi="Times New Roman"/>
          <w:sz w:val="28"/>
          <w:szCs w:val="28"/>
        </w:rPr>
        <w:t>ж</w:t>
      </w:r>
      <w:r w:rsidRPr="009E7C9E">
        <w:rPr>
          <w:rFonts w:ascii="Times New Roman" w:hAnsi="Times New Roman"/>
          <w:sz w:val="28"/>
          <w:szCs w:val="28"/>
        </w:rPr>
        <w:t xml:space="preserve">дого опроса, отражаются в отчетах о мониторинге и оценке 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9E7C9E">
        <w:rPr>
          <w:rFonts w:ascii="Times New Roman" w:hAnsi="Times New Roman"/>
          <w:sz w:val="28"/>
          <w:szCs w:val="28"/>
        </w:rPr>
        <w:t>Стр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тегии и в </w:t>
      </w:r>
      <w:r>
        <w:rPr>
          <w:rFonts w:ascii="Times New Roman" w:hAnsi="Times New Roman"/>
          <w:sz w:val="28"/>
          <w:szCs w:val="28"/>
        </w:rPr>
        <w:t xml:space="preserve">итоговом </w:t>
      </w:r>
      <w:r w:rsidRPr="009E7C9E">
        <w:rPr>
          <w:rFonts w:ascii="Times New Roman" w:hAnsi="Times New Roman"/>
          <w:sz w:val="28"/>
          <w:szCs w:val="28"/>
        </w:rPr>
        <w:t>отчете об оценке. Методология проведения опроса (вопр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 xml:space="preserve">сы, выборка и целевые группы, посредством которых отслеживается </w:t>
      </w:r>
      <w:r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9E7C9E"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rFonts w:ascii="Times New Roman" w:hAnsi="Times New Roman"/>
          <w:sz w:val="28"/>
          <w:szCs w:val="28"/>
        </w:rPr>
        <w:t>внедрения</w:t>
      </w:r>
      <w:r w:rsidRPr="009E7C9E">
        <w:rPr>
          <w:rFonts w:ascii="Times New Roman" w:hAnsi="Times New Roman"/>
          <w:sz w:val="28"/>
          <w:szCs w:val="28"/>
        </w:rPr>
        <w:t>, общих задач и цели Стратегии) определяется в результате открытого конкурса и остается неи</w:t>
      </w:r>
      <w:r w:rsidRPr="009E7C9E">
        <w:rPr>
          <w:rFonts w:ascii="Times New Roman" w:hAnsi="Times New Roman"/>
          <w:sz w:val="28"/>
          <w:szCs w:val="28"/>
        </w:rPr>
        <w:t>з</w:t>
      </w:r>
      <w:r w:rsidRPr="009E7C9E">
        <w:rPr>
          <w:rFonts w:ascii="Times New Roman" w:hAnsi="Times New Roman"/>
          <w:sz w:val="28"/>
          <w:szCs w:val="28"/>
        </w:rPr>
        <w:t xml:space="preserve">менной </w:t>
      </w:r>
      <w:r>
        <w:rPr>
          <w:rFonts w:ascii="Times New Roman" w:hAnsi="Times New Roman"/>
          <w:sz w:val="28"/>
          <w:szCs w:val="28"/>
        </w:rPr>
        <w:t>в течение всего периода реализации</w:t>
      </w:r>
      <w:r w:rsidRPr="009E7C9E">
        <w:rPr>
          <w:rFonts w:ascii="Times New Roman" w:hAnsi="Times New Roman"/>
          <w:sz w:val="28"/>
          <w:szCs w:val="28"/>
        </w:rPr>
        <w:t xml:space="preserve"> Стратегии, для точного отслеживания </w:t>
      </w:r>
      <w:r>
        <w:rPr>
          <w:rFonts w:ascii="Times New Roman" w:hAnsi="Times New Roman"/>
          <w:sz w:val="28"/>
          <w:szCs w:val="28"/>
        </w:rPr>
        <w:t>изменения</w:t>
      </w:r>
      <w:r w:rsidRPr="009E7C9E">
        <w:rPr>
          <w:rFonts w:ascii="Times New Roman" w:hAnsi="Times New Roman"/>
          <w:sz w:val="28"/>
          <w:szCs w:val="28"/>
        </w:rPr>
        <w:t xml:space="preserve"> данных показ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телей.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>Назначение представителей гражданского общества</w:t>
      </w:r>
      <w:r w:rsidRPr="009E7C9E">
        <w:rPr>
          <w:rFonts w:ascii="Times New Roman" w:hAnsi="Times New Roman"/>
          <w:sz w:val="28"/>
          <w:szCs w:val="28"/>
        </w:rPr>
        <w:t xml:space="preserve"> (общественных объединений) в мониторинговы</w:t>
      </w:r>
      <w:r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Национальным с</w:t>
      </w:r>
      <w:r w:rsidRPr="009E7C9E">
        <w:rPr>
          <w:rFonts w:ascii="Times New Roman" w:hAnsi="Times New Roman"/>
          <w:sz w:val="28"/>
          <w:szCs w:val="28"/>
        </w:rPr>
        <w:t>ов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том НПО и Альянсом по борьбе с коррупцией по следующим критериям:</w:t>
      </w:r>
    </w:p>
    <w:p w:rsidR="0019475D" w:rsidRPr="009E7C9E" w:rsidRDefault="0019475D" w:rsidP="0019475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компетентность в области деятельности </w:t>
      </w:r>
      <w:r>
        <w:rPr>
          <w:rFonts w:ascii="Times New Roman" w:hAnsi="Times New Roman"/>
          <w:sz w:val="28"/>
          <w:szCs w:val="28"/>
        </w:rPr>
        <w:t xml:space="preserve">опорных </w:t>
      </w:r>
      <w:r w:rsidRPr="009E7C9E">
        <w:rPr>
          <w:rFonts w:ascii="Times New Roman" w:hAnsi="Times New Roman"/>
          <w:sz w:val="28"/>
          <w:szCs w:val="28"/>
        </w:rPr>
        <w:t>учреждений, мон</w:t>
      </w:r>
      <w:r w:rsidRPr="009E7C9E"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торинг которых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9E7C9E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мониторингов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>;</w:t>
      </w:r>
    </w:p>
    <w:p w:rsidR="0019475D" w:rsidRPr="009E7C9E" w:rsidRDefault="0019475D" w:rsidP="0019475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отсутствие личных интересов, связанных с</w:t>
      </w:r>
      <w:r>
        <w:rPr>
          <w:rFonts w:ascii="Times New Roman" w:hAnsi="Times New Roman"/>
          <w:sz w:val="28"/>
          <w:szCs w:val="28"/>
        </w:rPr>
        <w:t xml:space="preserve"> опорными</w:t>
      </w:r>
      <w:r w:rsidRPr="009E7C9E">
        <w:rPr>
          <w:rFonts w:ascii="Times New Roman" w:hAnsi="Times New Roman"/>
          <w:sz w:val="28"/>
          <w:szCs w:val="28"/>
        </w:rPr>
        <w:t xml:space="preserve"> учреждени</w:t>
      </w:r>
      <w:r w:rsidRPr="009E7C9E"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>ми, мониторинг которых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9E7C9E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мониторингов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гру</w:t>
      </w:r>
      <w:r w:rsidRPr="009E7C9E">
        <w:rPr>
          <w:rFonts w:ascii="Times New Roman" w:hAnsi="Times New Roman"/>
          <w:sz w:val="28"/>
          <w:szCs w:val="28"/>
        </w:rPr>
        <w:t>п</w:t>
      </w:r>
      <w:r w:rsidRPr="009E7C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>;</w:t>
      </w:r>
    </w:p>
    <w:p w:rsidR="0019475D" w:rsidRPr="009E7C9E" w:rsidRDefault="0019475D" w:rsidP="0019475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прозрачность финансирования и деятельности, осуществляемой н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правительственной организацией, в которой такой представитель состоит;</w:t>
      </w:r>
    </w:p>
    <w:p w:rsidR="0019475D" w:rsidRPr="009E7C9E" w:rsidRDefault="0019475D" w:rsidP="0019475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готовность участвовать в заседаниях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</w:t>
      </w:r>
      <w:r w:rsidRPr="009E7C9E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гражданского общества, назначе</w:t>
      </w:r>
      <w:r>
        <w:rPr>
          <w:rFonts w:ascii="Times New Roman" w:hAnsi="Times New Roman"/>
          <w:sz w:val="28"/>
          <w:szCs w:val="28"/>
        </w:rPr>
        <w:t>нных в качес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 членов трех</w:t>
      </w:r>
      <w:r w:rsidRPr="009E7C9E">
        <w:rPr>
          <w:rFonts w:ascii="Times New Roman" w:hAnsi="Times New Roman"/>
          <w:sz w:val="28"/>
          <w:szCs w:val="28"/>
        </w:rPr>
        <w:t xml:space="preserve"> мониторинговых групп, сообщается Секретариату в трехмеся</w:t>
      </w:r>
      <w:r w:rsidRPr="009E7C9E">
        <w:rPr>
          <w:rFonts w:ascii="Times New Roman" w:hAnsi="Times New Roman"/>
          <w:sz w:val="28"/>
          <w:szCs w:val="28"/>
        </w:rPr>
        <w:t>ч</w:t>
      </w:r>
      <w:r w:rsidRPr="009E7C9E">
        <w:rPr>
          <w:rFonts w:ascii="Times New Roman" w:hAnsi="Times New Roman"/>
          <w:sz w:val="28"/>
          <w:szCs w:val="28"/>
        </w:rPr>
        <w:t>ный срок со дня вступления в силу Стратегии. Если по истечении этого срока Секретариату не будет сообщен</w:t>
      </w:r>
      <w:r>
        <w:rPr>
          <w:rFonts w:ascii="Times New Roman" w:hAnsi="Times New Roman"/>
          <w:sz w:val="28"/>
          <w:szCs w:val="28"/>
        </w:rPr>
        <w:t xml:space="preserve"> список</w:t>
      </w:r>
      <w:r w:rsidRPr="009E7C9E">
        <w:rPr>
          <w:rFonts w:ascii="Times New Roman" w:hAnsi="Times New Roman"/>
          <w:sz w:val="28"/>
          <w:szCs w:val="28"/>
        </w:rPr>
        <w:t xml:space="preserve"> назначенных член</w:t>
      </w:r>
      <w:r>
        <w:rPr>
          <w:rFonts w:ascii="Times New Roman" w:hAnsi="Times New Roman"/>
          <w:sz w:val="28"/>
          <w:szCs w:val="28"/>
        </w:rPr>
        <w:t>ов</w:t>
      </w:r>
      <w:r w:rsidRPr="009E7C9E">
        <w:rPr>
          <w:rFonts w:ascii="Times New Roman" w:hAnsi="Times New Roman"/>
          <w:sz w:val="28"/>
          <w:szCs w:val="28"/>
        </w:rPr>
        <w:t xml:space="preserve">, он будет вправе обратиться напрямую к неправительственным организациям, отвечающим вышеуказанным критериям, с просьбой назначить членов мониторинговых групп.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Представители гражданского общества, назначенные членами </w:t>
      </w:r>
      <w:r>
        <w:rPr>
          <w:rFonts w:ascii="Times New Roman" w:hAnsi="Times New Roman"/>
          <w:sz w:val="28"/>
          <w:szCs w:val="28"/>
        </w:rPr>
        <w:t>в состав трех</w:t>
      </w:r>
      <w:r w:rsidRPr="009E7C9E">
        <w:rPr>
          <w:rFonts w:ascii="Times New Roman" w:hAnsi="Times New Roman"/>
          <w:sz w:val="28"/>
          <w:szCs w:val="28"/>
        </w:rPr>
        <w:t xml:space="preserve"> мониторинговых групп, могут быть отозваны </w:t>
      </w:r>
      <w:r>
        <w:rPr>
          <w:rFonts w:ascii="Times New Roman" w:hAnsi="Times New Roman"/>
          <w:sz w:val="28"/>
          <w:szCs w:val="28"/>
        </w:rPr>
        <w:t>Национальным с</w:t>
      </w:r>
      <w:r w:rsidRPr="009E7C9E">
        <w:rPr>
          <w:rFonts w:ascii="Times New Roman" w:hAnsi="Times New Roman"/>
          <w:sz w:val="28"/>
          <w:szCs w:val="28"/>
        </w:rPr>
        <w:t xml:space="preserve">оветом НПО и Альянсом по борьбе с коррупцией или, по </w:t>
      </w:r>
      <w:r>
        <w:rPr>
          <w:rFonts w:ascii="Times New Roman" w:hAnsi="Times New Roman"/>
          <w:sz w:val="28"/>
          <w:szCs w:val="28"/>
        </w:rPr>
        <w:t>обстоятельствам</w:t>
      </w:r>
      <w:r w:rsidRPr="009E7C9E">
        <w:rPr>
          <w:rFonts w:ascii="Times New Roman" w:hAnsi="Times New Roman"/>
          <w:sz w:val="28"/>
          <w:szCs w:val="28"/>
        </w:rPr>
        <w:t>, Секрет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риатом, по требованию других членов мониторингов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они сост</w:t>
      </w:r>
      <w:r w:rsidRPr="009E7C9E">
        <w:rPr>
          <w:rFonts w:ascii="Times New Roman" w:hAnsi="Times New Roman"/>
          <w:sz w:val="28"/>
          <w:szCs w:val="28"/>
        </w:rPr>
        <w:t>о</w:t>
      </w:r>
      <w:r w:rsidRPr="009E7C9E">
        <w:rPr>
          <w:rFonts w:ascii="Times New Roman" w:hAnsi="Times New Roman"/>
          <w:sz w:val="28"/>
          <w:szCs w:val="28"/>
        </w:rPr>
        <w:t>ят, если такие представители перестают соответствовать критериям, на основании которых были н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значены.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Информация о назначенных представителях гражданского общества публикуется Секретариатом на веб-с</w:t>
      </w:r>
      <w:r>
        <w:rPr>
          <w:rFonts w:ascii="Times New Roman" w:hAnsi="Times New Roman"/>
          <w:sz w:val="28"/>
          <w:szCs w:val="28"/>
        </w:rPr>
        <w:t>транице</w:t>
      </w:r>
      <w:r w:rsidRPr="009E7C9E">
        <w:rPr>
          <w:rFonts w:ascii="Times New Roman" w:hAnsi="Times New Roman"/>
          <w:sz w:val="28"/>
          <w:szCs w:val="28"/>
        </w:rPr>
        <w:t xml:space="preserve"> НЦБК.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b/>
          <w:bCs/>
          <w:sz w:val="28"/>
          <w:szCs w:val="28"/>
        </w:rPr>
        <w:t>Назначение представителей внепарламентских политических партий</w:t>
      </w:r>
      <w:r>
        <w:rPr>
          <w:rFonts w:ascii="Times New Roman" w:hAnsi="Times New Roman"/>
          <w:sz w:val="28"/>
          <w:szCs w:val="28"/>
        </w:rPr>
        <w:t xml:space="preserve"> в состав Первой м</w:t>
      </w:r>
      <w:r w:rsidRPr="009E7C9E">
        <w:rPr>
          <w:rFonts w:ascii="Times New Roman" w:hAnsi="Times New Roman"/>
          <w:sz w:val="28"/>
          <w:szCs w:val="28"/>
        </w:rPr>
        <w:t>ониторинговой группы осуществляется пятью внепа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 xml:space="preserve">ламентскими политическими партиями с лучшими результатами </w:t>
      </w:r>
      <w:r>
        <w:rPr>
          <w:rFonts w:ascii="Times New Roman" w:hAnsi="Times New Roman"/>
          <w:sz w:val="28"/>
          <w:szCs w:val="28"/>
        </w:rPr>
        <w:t>на</w:t>
      </w:r>
      <w:r w:rsidRPr="009E7C9E">
        <w:rPr>
          <w:rFonts w:ascii="Times New Roman" w:hAnsi="Times New Roman"/>
          <w:sz w:val="28"/>
          <w:szCs w:val="28"/>
        </w:rPr>
        <w:t xml:space="preserve"> после</w:t>
      </w:r>
      <w:r w:rsidRPr="009E7C9E">
        <w:rPr>
          <w:rFonts w:ascii="Times New Roman" w:hAnsi="Times New Roman"/>
          <w:sz w:val="28"/>
          <w:szCs w:val="28"/>
        </w:rPr>
        <w:t>д</w:t>
      </w:r>
      <w:r w:rsidRPr="009E7C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их</w:t>
      </w:r>
      <w:r w:rsidRPr="009E7C9E">
        <w:rPr>
          <w:rFonts w:ascii="Times New Roman" w:hAnsi="Times New Roman"/>
          <w:sz w:val="28"/>
          <w:szCs w:val="28"/>
        </w:rPr>
        <w:t xml:space="preserve"> парламентских выбор</w:t>
      </w:r>
      <w:r>
        <w:rPr>
          <w:rFonts w:ascii="Times New Roman" w:hAnsi="Times New Roman"/>
          <w:sz w:val="28"/>
          <w:szCs w:val="28"/>
        </w:rPr>
        <w:t>ах</w:t>
      </w:r>
      <w:r w:rsidRPr="009E7C9E">
        <w:rPr>
          <w:rFonts w:ascii="Times New Roman" w:hAnsi="Times New Roman"/>
          <w:sz w:val="28"/>
          <w:szCs w:val="28"/>
        </w:rPr>
        <w:t xml:space="preserve"> по приглашению Секретариат</w:t>
      </w:r>
      <w:r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искл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чения одной из </w:t>
      </w:r>
      <w:r w:rsidRPr="009E7C9E">
        <w:rPr>
          <w:rFonts w:ascii="Times New Roman" w:hAnsi="Times New Roman"/>
          <w:sz w:val="28"/>
          <w:szCs w:val="28"/>
        </w:rPr>
        <w:t>внепарламентск</w:t>
      </w:r>
      <w:r>
        <w:rPr>
          <w:rFonts w:ascii="Times New Roman" w:hAnsi="Times New Roman"/>
          <w:sz w:val="28"/>
          <w:szCs w:val="28"/>
        </w:rPr>
        <w:t>их</w:t>
      </w:r>
      <w:r w:rsidRPr="009E7C9E">
        <w:rPr>
          <w:rFonts w:ascii="Times New Roman" w:hAnsi="Times New Roman"/>
          <w:sz w:val="28"/>
          <w:szCs w:val="28"/>
        </w:rPr>
        <w:t xml:space="preserve"> политическ</w:t>
      </w:r>
      <w:r>
        <w:rPr>
          <w:rFonts w:ascii="Times New Roman" w:hAnsi="Times New Roman"/>
          <w:sz w:val="28"/>
          <w:szCs w:val="28"/>
        </w:rPr>
        <w:t>их</w:t>
      </w:r>
      <w:r w:rsidRPr="009E7C9E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й</w:t>
      </w:r>
      <w:r w:rsidRPr="009E7C9E">
        <w:rPr>
          <w:rFonts w:ascii="Times New Roman" w:hAnsi="Times New Roman"/>
          <w:sz w:val="28"/>
          <w:szCs w:val="28"/>
        </w:rPr>
        <w:t xml:space="preserve"> из реестра политических партий после назначения </w:t>
      </w:r>
      <w:r>
        <w:rPr>
          <w:rFonts w:ascii="Times New Roman" w:hAnsi="Times New Roman"/>
          <w:sz w:val="28"/>
          <w:szCs w:val="28"/>
        </w:rPr>
        <w:t>ее</w:t>
      </w:r>
      <w:r w:rsidRPr="009E7C9E">
        <w:rPr>
          <w:rFonts w:ascii="Times New Roman" w:hAnsi="Times New Roman"/>
          <w:sz w:val="28"/>
          <w:szCs w:val="28"/>
        </w:rPr>
        <w:t xml:space="preserve"> представителей в </w:t>
      </w:r>
      <w:r>
        <w:rPr>
          <w:rFonts w:ascii="Times New Roman" w:hAnsi="Times New Roman"/>
          <w:sz w:val="28"/>
          <w:szCs w:val="28"/>
        </w:rPr>
        <w:t>состав мониторинговой г</w:t>
      </w:r>
      <w:r w:rsidRPr="009E7C9E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</w:t>
      </w:r>
      <w:r w:rsidRPr="009E7C9E">
        <w:rPr>
          <w:rFonts w:ascii="Times New Roman" w:hAnsi="Times New Roman"/>
          <w:sz w:val="28"/>
          <w:szCs w:val="28"/>
        </w:rPr>
        <w:t xml:space="preserve"> или отказ</w:t>
      </w:r>
      <w:r>
        <w:rPr>
          <w:rFonts w:ascii="Times New Roman" w:hAnsi="Times New Roman"/>
          <w:sz w:val="28"/>
          <w:szCs w:val="28"/>
        </w:rPr>
        <w:t>а ее</w:t>
      </w:r>
      <w:r w:rsidRPr="009E7C9E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9E7C9E">
        <w:rPr>
          <w:rFonts w:ascii="Times New Roman" w:hAnsi="Times New Roman"/>
          <w:sz w:val="28"/>
          <w:szCs w:val="28"/>
        </w:rPr>
        <w:t xml:space="preserve"> участвовать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E7C9E">
        <w:rPr>
          <w:rFonts w:ascii="Times New Roman" w:hAnsi="Times New Roman"/>
          <w:sz w:val="28"/>
          <w:szCs w:val="28"/>
        </w:rPr>
        <w:t>заседаниях последней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Секретариат обращается </w:t>
      </w:r>
      <w:proofErr w:type="gramStart"/>
      <w:r w:rsidRPr="009E7C9E">
        <w:rPr>
          <w:rFonts w:ascii="Times New Roman" w:hAnsi="Times New Roman"/>
          <w:sz w:val="28"/>
          <w:szCs w:val="28"/>
        </w:rPr>
        <w:t>к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7C9E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им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политическ</w:t>
      </w:r>
      <w:r>
        <w:rPr>
          <w:rFonts w:ascii="Times New Roman" w:hAnsi="Times New Roman"/>
          <w:sz w:val="28"/>
          <w:szCs w:val="28"/>
        </w:rPr>
        <w:t>им</w:t>
      </w:r>
      <w:r w:rsidRPr="009E7C9E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ям</w:t>
      </w:r>
      <w:r w:rsidRPr="009E7C9E">
        <w:rPr>
          <w:rFonts w:ascii="Times New Roman" w:hAnsi="Times New Roman"/>
          <w:sz w:val="28"/>
          <w:szCs w:val="28"/>
        </w:rPr>
        <w:t xml:space="preserve"> с лучшими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C9E">
        <w:rPr>
          <w:rFonts w:ascii="Times New Roman" w:hAnsi="Times New Roman"/>
          <w:sz w:val="28"/>
          <w:szCs w:val="28"/>
        </w:rPr>
        <w:t>согласно официальным данным ЦИК</w:t>
      </w:r>
      <w:r>
        <w:rPr>
          <w:rFonts w:ascii="Times New Roman" w:hAnsi="Times New Roman"/>
          <w:sz w:val="28"/>
          <w:szCs w:val="28"/>
        </w:rPr>
        <w:t>,</w:t>
      </w:r>
      <w:r w:rsidRPr="009E7C9E">
        <w:rPr>
          <w:rFonts w:ascii="Times New Roman" w:hAnsi="Times New Roman"/>
          <w:sz w:val="28"/>
          <w:szCs w:val="28"/>
        </w:rPr>
        <w:t xml:space="preserve"> результатами </w:t>
      </w:r>
      <w:r>
        <w:rPr>
          <w:rFonts w:ascii="Times New Roman" w:hAnsi="Times New Roman"/>
          <w:sz w:val="28"/>
          <w:szCs w:val="28"/>
        </w:rPr>
        <w:t>на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борах. 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9E7C9E">
        <w:rPr>
          <w:rFonts w:ascii="Times New Roman" w:hAnsi="Times New Roman"/>
          <w:sz w:val="28"/>
          <w:szCs w:val="28"/>
        </w:rPr>
        <w:t>внепарламентск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9E7C9E">
        <w:rPr>
          <w:rFonts w:ascii="Times New Roman" w:hAnsi="Times New Roman"/>
          <w:sz w:val="28"/>
          <w:szCs w:val="28"/>
        </w:rPr>
        <w:t xml:space="preserve"> политическ</w:t>
      </w:r>
      <w:r>
        <w:rPr>
          <w:rFonts w:ascii="Times New Roman" w:hAnsi="Times New Roman"/>
          <w:sz w:val="28"/>
          <w:szCs w:val="28"/>
        </w:rPr>
        <w:t>ая</w:t>
      </w:r>
      <w:r w:rsidRPr="009E7C9E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я,</w:t>
      </w:r>
      <w:r w:rsidRPr="009E7C9E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ившая</w:t>
      </w:r>
      <w:r w:rsidRPr="009E7C9E">
        <w:rPr>
          <w:rFonts w:ascii="Times New Roman" w:hAnsi="Times New Roman"/>
          <w:sz w:val="28"/>
          <w:szCs w:val="28"/>
        </w:rPr>
        <w:t xml:space="preserve"> представит</w:t>
      </w:r>
      <w:r w:rsidRPr="009E7C9E">
        <w:rPr>
          <w:rFonts w:ascii="Times New Roman" w:hAnsi="Times New Roman"/>
          <w:sz w:val="28"/>
          <w:szCs w:val="28"/>
        </w:rPr>
        <w:t>е</w:t>
      </w:r>
      <w:r w:rsidRPr="009E7C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Первой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 станов</w:t>
      </w:r>
      <w:r>
        <w:rPr>
          <w:rFonts w:ascii="Times New Roman" w:hAnsi="Times New Roman"/>
          <w:sz w:val="28"/>
          <w:szCs w:val="28"/>
        </w:rPr>
        <w:t>и</w:t>
      </w:r>
      <w:r w:rsidRPr="009E7C9E">
        <w:rPr>
          <w:rFonts w:ascii="Times New Roman" w:hAnsi="Times New Roman"/>
          <w:sz w:val="28"/>
          <w:szCs w:val="28"/>
        </w:rPr>
        <w:t>тся</w:t>
      </w:r>
      <w:proofErr w:type="gramEnd"/>
      <w:r w:rsidRPr="009E7C9E">
        <w:rPr>
          <w:rFonts w:ascii="Times New Roman" w:hAnsi="Times New Roman"/>
          <w:sz w:val="28"/>
          <w:szCs w:val="28"/>
        </w:rPr>
        <w:t xml:space="preserve"> парламентск</w:t>
      </w:r>
      <w:r>
        <w:rPr>
          <w:rFonts w:ascii="Times New Roman" w:hAnsi="Times New Roman"/>
          <w:sz w:val="28"/>
          <w:szCs w:val="28"/>
        </w:rPr>
        <w:t>ой</w:t>
      </w:r>
      <w:r w:rsidRPr="009E7C9E">
        <w:rPr>
          <w:rFonts w:ascii="Times New Roman" w:hAnsi="Times New Roman"/>
          <w:sz w:val="28"/>
          <w:szCs w:val="28"/>
        </w:rPr>
        <w:t xml:space="preserve"> па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ей</w:t>
      </w:r>
      <w:r w:rsidRPr="009E7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представители</w:t>
      </w:r>
      <w:r w:rsidRPr="009E7C9E">
        <w:rPr>
          <w:rFonts w:ascii="Times New Roman" w:hAnsi="Times New Roman"/>
          <w:sz w:val="28"/>
          <w:szCs w:val="28"/>
        </w:rPr>
        <w:t xml:space="preserve"> больше не </w:t>
      </w:r>
      <w:r>
        <w:rPr>
          <w:rFonts w:ascii="Times New Roman" w:hAnsi="Times New Roman"/>
          <w:sz w:val="28"/>
          <w:szCs w:val="28"/>
        </w:rPr>
        <w:t>могут участвовать в заседаниях г</w:t>
      </w:r>
      <w:r w:rsidRPr="009E7C9E">
        <w:rPr>
          <w:rFonts w:ascii="Times New Roman" w:hAnsi="Times New Roman"/>
          <w:sz w:val="28"/>
          <w:szCs w:val="28"/>
        </w:rPr>
        <w:t>руппы в качестве членов, представляющих внепарламентские партии. После общих парламен</w:t>
      </w:r>
      <w:r w:rsidRPr="009E7C9E">
        <w:rPr>
          <w:rFonts w:ascii="Times New Roman" w:hAnsi="Times New Roman"/>
          <w:sz w:val="28"/>
          <w:szCs w:val="28"/>
        </w:rPr>
        <w:t>т</w:t>
      </w:r>
      <w:r w:rsidRPr="009E7C9E">
        <w:rPr>
          <w:rFonts w:ascii="Times New Roman" w:hAnsi="Times New Roman"/>
          <w:sz w:val="28"/>
          <w:szCs w:val="28"/>
        </w:rPr>
        <w:t>ских выборов Секретариат использует вышеуказанную процедуру для назначения представителей внепарламентских политических партий в к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 xml:space="preserve">честве членов </w:t>
      </w:r>
      <w:r>
        <w:rPr>
          <w:rFonts w:ascii="Times New Roman" w:hAnsi="Times New Roman"/>
          <w:sz w:val="28"/>
          <w:szCs w:val="28"/>
        </w:rPr>
        <w:t>Первой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мониторинговой группы</w:t>
      </w:r>
      <w:r w:rsidRPr="009E7C9E">
        <w:rPr>
          <w:rFonts w:ascii="Times New Roman" w:hAnsi="Times New Roman"/>
          <w:sz w:val="28"/>
          <w:szCs w:val="28"/>
        </w:rPr>
        <w:t>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>Информация о представителях внепарламентских политических па</w:t>
      </w:r>
      <w:r w:rsidRPr="009E7C9E">
        <w:rPr>
          <w:rFonts w:ascii="Times New Roman" w:hAnsi="Times New Roman"/>
          <w:sz w:val="28"/>
          <w:szCs w:val="28"/>
        </w:rPr>
        <w:t>р</w:t>
      </w:r>
      <w:r w:rsidRPr="009E7C9E">
        <w:rPr>
          <w:rFonts w:ascii="Times New Roman" w:hAnsi="Times New Roman"/>
          <w:sz w:val="28"/>
          <w:szCs w:val="28"/>
        </w:rPr>
        <w:t xml:space="preserve">тий, назначенных членами </w:t>
      </w:r>
      <w:r>
        <w:rPr>
          <w:rFonts w:ascii="Times New Roman" w:hAnsi="Times New Roman"/>
          <w:sz w:val="28"/>
          <w:szCs w:val="28"/>
        </w:rPr>
        <w:t>Первой</w:t>
      </w:r>
      <w:r w:rsidRPr="009E7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E7C9E">
        <w:rPr>
          <w:rFonts w:ascii="Times New Roman" w:hAnsi="Times New Roman"/>
          <w:sz w:val="28"/>
          <w:szCs w:val="28"/>
        </w:rPr>
        <w:t>ониторинговой группы, публикуется Секрет</w:t>
      </w:r>
      <w:r w:rsidRPr="009E7C9E">
        <w:rPr>
          <w:rFonts w:ascii="Times New Roman" w:hAnsi="Times New Roman"/>
          <w:sz w:val="28"/>
          <w:szCs w:val="28"/>
        </w:rPr>
        <w:t>а</w:t>
      </w:r>
      <w:r w:rsidRPr="009E7C9E">
        <w:rPr>
          <w:rFonts w:ascii="Times New Roman" w:hAnsi="Times New Roman"/>
          <w:sz w:val="28"/>
          <w:szCs w:val="28"/>
        </w:rPr>
        <w:t>риатом на веб-с</w:t>
      </w:r>
      <w:r>
        <w:rPr>
          <w:rFonts w:ascii="Times New Roman" w:hAnsi="Times New Roman"/>
          <w:sz w:val="28"/>
          <w:szCs w:val="28"/>
        </w:rPr>
        <w:t>транице</w:t>
      </w:r>
      <w:r w:rsidRPr="009E7C9E">
        <w:rPr>
          <w:rFonts w:ascii="Times New Roman" w:hAnsi="Times New Roman"/>
          <w:sz w:val="28"/>
          <w:szCs w:val="28"/>
        </w:rPr>
        <w:t xml:space="preserve"> НЦБК.</w:t>
      </w:r>
    </w:p>
    <w:p w:rsidR="0019475D" w:rsidRPr="009E7C9E" w:rsidRDefault="0019475D" w:rsidP="0019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75D" w:rsidRPr="009E7C9E" w:rsidRDefault="0019475D" w:rsidP="0019475D">
      <w:pPr>
        <w:tabs>
          <w:tab w:val="left" w:pos="2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7C9E">
        <w:rPr>
          <w:rFonts w:ascii="Times New Roman" w:hAnsi="Times New Roman"/>
          <w:sz w:val="28"/>
          <w:szCs w:val="28"/>
        </w:rPr>
        <w:t xml:space="preserve"> </w:t>
      </w:r>
    </w:p>
    <w:p w:rsidR="0019475D" w:rsidRDefault="0019475D">
      <w:bookmarkStart w:id="49" w:name="_GoBack"/>
      <w:bookmarkEnd w:id="49"/>
    </w:p>
    <w:sectPr w:rsidR="0019475D" w:rsidSect="00E849DE">
      <w:headerReference w:type="default" r:id="rId9"/>
      <w:pgSz w:w="11906" w:h="16838" w:code="9"/>
      <w:pgMar w:top="1418" w:right="567" w:bottom="1418" w:left="1843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35" w:rsidRDefault="000B1C35" w:rsidP="0019475D">
      <w:pPr>
        <w:spacing w:after="0" w:line="240" w:lineRule="auto"/>
      </w:pPr>
      <w:r>
        <w:separator/>
      </w:r>
    </w:p>
  </w:endnote>
  <w:endnote w:type="continuationSeparator" w:id="0">
    <w:p w:rsidR="000B1C35" w:rsidRDefault="000B1C35" w:rsidP="0019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35" w:rsidRDefault="000B1C35" w:rsidP="0019475D">
      <w:pPr>
        <w:spacing w:after="0" w:line="240" w:lineRule="auto"/>
      </w:pPr>
      <w:r>
        <w:separator/>
      </w:r>
    </w:p>
  </w:footnote>
  <w:footnote w:type="continuationSeparator" w:id="0">
    <w:p w:rsidR="000B1C35" w:rsidRDefault="000B1C35" w:rsidP="0019475D">
      <w:pPr>
        <w:spacing w:after="0" w:line="240" w:lineRule="auto"/>
      </w:pPr>
      <w:r>
        <w:continuationSeparator/>
      </w:r>
    </w:p>
  </w:footnote>
  <w:footnote w:id="1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lang w:val="ru" w:eastAsia="x-none"/>
          </w:rPr>
          <w:t>http://www.gov.md/sites/default/files/foaie_de_parcurs_privind_agenda_de_reforme_prioritare_.pdf</w:t>
        </w:r>
      </w:hyperlink>
      <w:r>
        <w:rPr>
          <w:rFonts w:ascii="Times New Roman" w:hAnsi="Times New Roman"/>
          <w:lang w:val="ru" w:eastAsia="x-none"/>
        </w:rPr>
        <w:t xml:space="preserve"> </w:t>
      </w:r>
    </w:p>
  </w:footnote>
  <w:footnote w:id="2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  <w:lang w:val="ru" w:eastAsia="x-none"/>
          </w:rPr>
          <w:t>http://cna.md/sites/default/files/sna_rapoarte/evaluarea_preliminara_sna_2011-2015_03.2016_0.doc</w:t>
        </w:r>
      </w:hyperlink>
      <w:r>
        <w:rPr>
          <w:rFonts w:ascii="Times New Roman" w:hAnsi="Times New Roman"/>
          <w:lang w:val="ru" w:eastAsia="x-none"/>
        </w:rPr>
        <w:t xml:space="preserve"> </w:t>
      </w:r>
    </w:p>
  </w:footnote>
  <w:footnote w:id="3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Несмотря на отмеченное в 2011 и 2012 годах улучшение, на протяжении следующих лет (2013–2015 гг.) ПЭУ «Контроль над коррупцией» снизился на 0,25, достигнув еще более низких </w:t>
      </w:r>
      <w:proofErr w:type="gramStart"/>
      <w:r>
        <w:rPr>
          <w:rFonts w:ascii="Times New Roman" w:hAnsi="Times New Roman"/>
          <w:lang w:val="ru" w:eastAsia="x-none"/>
        </w:rPr>
        <w:t>показателей</w:t>
      </w:r>
      <w:proofErr w:type="gramEnd"/>
      <w:r>
        <w:rPr>
          <w:rFonts w:ascii="Times New Roman" w:hAnsi="Times New Roman"/>
          <w:lang w:val="ru" w:eastAsia="x-none"/>
        </w:rPr>
        <w:t xml:space="preserve"> чем те, которые были зарегистрированы на момент запуска НАС 2011–2016: с -0,63 в 2011 году до -0,88 в 2015 году.</w:t>
      </w:r>
    </w:p>
  </w:footnote>
  <w:footnote w:id="4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>ПЭУ «Качество регулирования» незначительно повысился (на 0,03): с -0,08 в 2011 году до -0,05 в 2015 году.</w:t>
      </w:r>
    </w:p>
  </w:footnote>
  <w:footnote w:id="5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>Согласно Барометру мировой коррупции за 2009 год, из</w:t>
      </w:r>
      <w:r w:rsidRPr="00B53E0A">
        <w:rPr>
          <w:rFonts w:ascii="Times New Roman" w:hAnsi="Times New Roman"/>
          <w:lang w:eastAsia="x-none"/>
        </w:rPr>
        <w:t xml:space="preserve"> </w:t>
      </w:r>
      <w:r>
        <w:rPr>
          <w:rFonts w:ascii="Times New Roman" w:hAnsi="Times New Roman"/>
          <w:lang w:eastAsia="x-none"/>
        </w:rPr>
        <w:t>лиц,</w:t>
      </w:r>
      <w:r>
        <w:rPr>
          <w:rFonts w:ascii="Times New Roman" w:hAnsi="Times New Roman"/>
          <w:lang w:val="ru" w:eastAsia="x-none"/>
        </w:rPr>
        <w:t xml:space="preserve"> опрошенных в Республики Молдова, доля дававших взятки лиц составляла 29 процентов, в то время как в 2015 году – 42%.</w:t>
      </w:r>
    </w:p>
  </w:footnote>
  <w:footnote w:id="6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proofErr w:type="gramStart"/>
      <w:r>
        <w:rPr>
          <w:rFonts w:ascii="Times New Roman" w:hAnsi="Times New Roman"/>
          <w:lang w:val="ru" w:eastAsia="x-none"/>
        </w:rPr>
        <w:t>Готовность давать взятки среди лиц из домохозяйств выросла с 64,3% в 2008 году до 67,6% в 2015 году(+3,3%), в то время как среди предпринимателей она снизилась с 76,5% в 2008 году до 64,3% в 2015 году (-12,2%).</w:t>
      </w:r>
      <w:proofErr w:type="gramEnd"/>
    </w:p>
  </w:footnote>
  <w:footnote w:id="7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>В 2010 году ИВК составлял 2,9. В 2014 году методология расчета ИВК была изменена. Теперь индекс рассчитывается по шкале не от 0 до 10, а от 1 до 100. Таким образом, в 2015 году, согласно расчетам ИВК в Республике Молдова находился на уровне 33, а в 2016 году – на уровне 30.</w:t>
      </w:r>
    </w:p>
  </w:footnote>
  <w:footnote w:id="8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>Общий расчетный объем взяток с учетом уровня инфляции с 2008–2009 годов до 2015 года снизился на 15,9%. Запланированный уровень снижения данного показателя, тем не менее, составлял 36,2%.</w:t>
      </w:r>
    </w:p>
  </w:footnote>
  <w:footnote w:id="9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>Мировой индекс экономической свободы вырос на 2% в период с 2011 по 2015 годы, против запланированного роста на 6,3%. Таким образом, в 2011 году данный показатель составлял 55,7%, а в 2015 году – 57,7%.</w:t>
      </w:r>
    </w:p>
  </w:footnote>
  <w:footnote w:id="10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  <w:lang w:val="ru" w:eastAsia="x-none"/>
          </w:rPr>
          <w:t>http://transparency.md/ro/cefacem/publicatii/141-sni-2014</w:t>
        </w:r>
      </w:hyperlink>
      <w:r>
        <w:rPr>
          <w:rFonts w:ascii="Times New Roman" w:hAnsi="Times New Roman"/>
          <w:lang w:val="ru" w:eastAsia="x-none"/>
        </w:rPr>
        <w:t xml:space="preserve"> </w:t>
      </w:r>
    </w:p>
  </w:footnote>
  <w:footnote w:id="11">
    <w:p w:rsidR="0019475D" w:rsidRDefault="0019475D" w:rsidP="0019475D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  <w:szCs w:val="20"/>
          <w:lang w:val="ru"/>
        </w:rPr>
        <w:footnoteRef/>
      </w:r>
      <w:r>
        <w:rPr>
          <w:rFonts w:ascii="Times New Roman" w:hAnsi="Times New Roman"/>
          <w:sz w:val="20"/>
          <w:szCs w:val="20"/>
          <w:lang w:val="ru"/>
        </w:rPr>
        <w:t xml:space="preserve">Цели устойчивого развития были впервые представлены на Конференции Организации Объединенных Наций по устойчивому развитию (Рио+20) в 2012 году. ЦУР заменяют восемь Целей развития тысячелетия (ЦРТ), содержащихся в Декларации тысячелетия, принятой ООН в сентябре 2000 года. Большинство стран мира в 2000 году совместно взяли на себя обязательство по сокращению мировой нищеты и спасению миллионов жизней. В период с 2000 по 2015 годы Декларация тысячелетия являлась единственной глобальной повесткой дня в области развития, в отношении которой </w:t>
      </w:r>
      <w:proofErr w:type="gramStart"/>
      <w:r>
        <w:rPr>
          <w:rFonts w:ascii="Times New Roman" w:hAnsi="Times New Roman"/>
          <w:sz w:val="20"/>
          <w:szCs w:val="20"/>
          <w:lang w:val="ru"/>
        </w:rPr>
        <w:t>существовало соглашение на самом высоком уровне и которая включала</w:t>
      </w:r>
      <w:proofErr w:type="gramEnd"/>
      <w:r>
        <w:rPr>
          <w:rFonts w:ascii="Times New Roman" w:hAnsi="Times New Roman"/>
          <w:sz w:val="20"/>
          <w:szCs w:val="20"/>
          <w:lang w:val="ru"/>
        </w:rPr>
        <w:t xml:space="preserve"> в себя конкретные цели.</w:t>
      </w:r>
    </w:p>
  </w:footnote>
  <w:footnote w:id="12">
    <w:p w:rsidR="0019475D" w:rsidRDefault="0019475D" w:rsidP="0019475D">
      <w:pPr>
        <w:pStyle w:val="FootnoteText"/>
        <w:jc w:val="both"/>
        <w:rPr>
          <w:rFonts w:ascii="Times New Roman" w:hAnsi="Times New Roman"/>
          <w:lang w:val="ru" w:eastAsia="x-none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ru" w:eastAsia="x-none"/>
        </w:rPr>
        <w:t xml:space="preserve">В 2015 году Национальная система неподкупности Республики Молдова была подвергнута фундаментальной оценке </w:t>
      </w:r>
      <w:proofErr w:type="spellStart"/>
      <w:r>
        <w:rPr>
          <w:rFonts w:ascii="Times New Roman" w:hAnsi="Times New Roman"/>
          <w:lang w:val="ru" w:eastAsia="x-none"/>
        </w:rPr>
        <w:t>Transparency</w:t>
      </w:r>
      <w:proofErr w:type="spellEnd"/>
      <w:r>
        <w:rPr>
          <w:rFonts w:ascii="Times New Roman" w:hAnsi="Times New Roman"/>
          <w:lang w:val="ru" w:eastAsia="x-none"/>
        </w:rPr>
        <w:t xml:space="preserve"> </w:t>
      </w:r>
      <w:proofErr w:type="spellStart"/>
      <w:r>
        <w:rPr>
          <w:rFonts w:ascii="Times New Roman" w:hAnsi="Times New Roman"/>
          <w:lang w:val="ru" w:eastAsia="x-none"/>
        </w:rPr>
        <w:t>International</w:t>
      </w:r>
      <w:proofErr w:type="spellEnd"/>
      <w:r>
        <w:rPr>
          <w:rFonts w:ascii="Times New Roman" w:hAnsi="Times New Roman"/>
          <w:lang w:val="ru" w:eastAsia="x-none"/>
        </w:rPr>
        <w:t xml:space="preserve"> Молдова в соответствии с международной методологией, применяемой в более чем 100 странах.</w:t>
      </w:r>
    </w:p>
    <w:p w:rsidR="0019475D" w:rsidRDefault="0019475D" w:rsidP="0019475D">
      <w:r w:rsidRPr="00282FA2">
        <w:rPr>
          <w:rFonts w:ascii="Times New Roman" w:hAnsi="Times New Roman"/>
          <w:sz w:val="20"/>
          <w:szCs w:val="20"/>
          <w:vertAlign w:val="superscript"/>
          <w:lang w:val="ru"/>
        </w:rPr>
        <w:t>13</w:t>
      </w:r>
      <w:r w:rsidRPr="00282FA2">
        <w:rPr>
          <w:rFonts w:ascii="Times New Roman" w:hAnsi="Times New Roman"/>
          <w:sz w:val="20"/>
          <w:szCs w:val="20"/>
          <w:lang w:val="ro-RO"/>
        </w:rPr>
        <w:t xml:space="preserve"> </w:t>
      </w:r>
      <w:hyperlink r:id="rId4" w:history="1">
        <w:r w:rsidRPr="00282FA2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http://www.iri.org/sites/default/files/iri_moldova_poll_march_2017.pdf</w:t>
        </w:r>
      </w:hyperlink>
    </w:p>
  </w:footnote>
  <w:footnote w:id="13">
    <w:p w:rsidR="0019475D" w:rsidRDefault="0019475D" w:rsidP="0019475D">
      <w:pPr>
        <w:pStyle w:val="FootnoteText"/>
      </w:pPr>
    </w:p>
  </w:footnote>
  <w:footnote w:id="14">
    <w:p w:rsidR="0019475D" w:rsidRDefault="0019475D" w:rsidP="0019475D">
      <w:pPr>
        <w:pStyle w:val="FootnoteText"/>
        <w:jc w:val="both"/>
        <w:rPr>
          <w:rFonts w:ascii="Times New Roman" w:hAnsi="Times New Roman"/>
          <w:lang w:val="ru" w:eastAsia="x-non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" w:eastAsia="x-none"/>
        </w:rPr>
        <w:t>Отчет об оценке ГРЕКО, IV Раунд оценки – Рекомендация II: (i) Принятие кодекса поведения для депутатов Парламента и обеспечение свободного доступа общественности к нему; (</w:t>
      </w:r>
      <w:proofErr w:type="spellStart"/>
      <w:r>
        <w:rPr>
          <w:rFonts w:ascii="Times New Roman" w:hAnsi="Times New Roman"/>
          <w:lang w:val="ru" w:eastAsia="x-none"/>
        </w:rPr>
        <w:t>ii</w:t>
      </w:r>
      <w:proofErr w:type="spellEnd"/>
      <w:r>
        <w:rPr>
          <w:rFonts w:ascii="Times New Roman" w:hAnsi="Times New Roman"/>
          <w:lang w:val="ru" w:eastAsia="x-none"/>
        </w:rPr>
        <w:t xml:space="preserve">) создание надлежащего механизма в рамках </w:t>
      </w:r>
      <w:proofErr w:type="gramStart"/>
      <w:r>
        <w:rPr>
          <w:rFonts w:ascii="Times New Roman" w:hAnsi="Times New Roman"/>
          <w:lang w:val="ru" w:eastAsia="x-none"/>
        </w:rPr>
        <w:t>Парламента</w:t>
      </w:r>
      <w:proofErr w:type="gramEnd"/>
      <w:r>
        <w:rPr>
          <w:rFonts w:ascii="Times New Roman" w:hAnsi="Times New Roman"/>
          <w:lang w:val="ru" w:eastAsia="x-none"/>
        </w:rPr>
        <w:t xml:space="preserve"> как для продвижения кодекса, так и для информирования членов Парламента об ожидаемых от них стандартах поведения, а также для применения стандартов там, где это необходимо.</w:t>
      </w:r>
    </w:p>
    <w:p w:rsidR="0019475D" w:rsidRDefault="0019475D" w:rsidP="0019475D">
      <w:pPr>
        <w:pStyle w:val="FootnoteText"/>
        <w:jc w:val="both"/>
      </w:pPr>
      <w:hyperlink r:id="rId5" w:tgtFrame="_blank" w:history="1">
        <w:r>
          <w:rPr>
            <w:rStyle w:val="Hyperlink"/>
            <w:rFonts w:ascii="Times New Roman" w:hAnsi="Times New Roman"/>
            <w:color w:val="005A95"/>
            <w:shd w:val="clear" w:color="auto" w:fill="FFFFFF"/>
            <w:lang w:val="ru" w:eastAsia="x-none"/>
          </w:rPr>
          <w:t>https://rm.coe.int/CoERMPublicCommonSearchServices/DisplayDCTMContent?documentId=09000016806c9b1a</w:t>
        </w:r>
      </w:hyperlink>
    </w:p>
  </w:footnote>
  <w:footnote w:id="15">
    <w:p w:rsidR="0019475D" w:rsidRDefault="0019475D" w:rsidP="0019475D">
      <w:pPr>
        <w:pStyle w:val="FootnoteText"/>
      </w:pPr>
      <w:r w:rsidRPr="007D0027">
        <w:rPr>
          <w:rStyle w:val="FootnoteReference"/>
          <w:rFonts w:ascii="Times New Roman" w:hAnsi="Times New Roman"/>
          <w:lang w:val="ru" w:eastAsia="x-none"/>
        </w:rPr>
        <w:t>1</w:t>
      </w:r>
      <w:r w:rsidRPr="007D0027">
        <w:rPr>
          <w:rFonts w:ascii="Times New Roman" w:hAnsi="Times New Roman"/>
          <w:vertAlign w:val="superscript"/>
          <w:lang w:val="ru" w:eastAsia="x-none"/>
        </w:rPr>
        <w:t>5</w:t>
      </w:r>
      <w:r w:rsidRPr="007D0027">
        <w:rPr>
          <w:rFonts w:ascii="Times New Roman" w:hAnsi="Times New Roman"/>
          <w:lang w:val="ru" w:eastAsia="x-none"/>
        </w:rPr>
        <w:t>Отчет</w:t>
      </w:r>
      <w:r>
        <w:rPr>
          <w:rFonts w:ascii="Times New Roman" w:hAnsi="Times New Roman"/>
          <w:lang w:val="ru" w:eastAsia="x-none"/>
        </w:rPr>
        <w:t xml:space="preserve"> об оценке ГРЕКО, IV Раунд оценки – Рекомендация I. </w:t>
      </w:r>
    </w:p>
  </w:footnote>
  <w:footnote w:id="16">
    <w:p w:rsidR="0019475D" w:rsidRPr="00282FA2" w:rsidRDefault="0019475D" w:rsidP="0019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FA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82FA2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282FA2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http://www.iri.org/sites/default/files/iri_moldova_poll_march_2017.pdf</w:t>
        </w:r>
      </w:hyperlink>
    </w:p>
    <w:p w:rsidR="0019475D" w:rsidRDefault="0019475D" w:rsidP="0019475D">
      <w:pPr>
        <w:spacing w:after="0" w:line="240" w:lineRule="auto"/>
        <w:jc w:val="both"/>
      </w:pPr>
    </w:p>
  </w:footnote>
  <w:footnote w:id="17">
    <w:p w:rsidR="0019475D" w:rsidRDefault="0019475D" w:rsidP="0019475D">
      <w:pPr>
        <w:pStyle w:val="FootnoteText"/>
      </w:pPr>
      <w:r w:rsidRPr="00EB253F">
        <w:rPr>
          <w:rStyle w:val="FootnoteReference"/>
          <w:rFonts w:ascii="Times New Roman" w:hAnsi="Times New Roman"/>
        </w:rPr>
        <w:footnoteRef/>
      </w:r>
      <w:r w:rsidRPr="00EB253F">
        <w:rPr>
          <w:rFonts w:ascii="Times New Roman" w:hAnsi="Times New Roman"/>
        </w:rPr>
        <w:t xml:space="preserve"> </w:t>
      </w:r>
      <w:hyperlink r:id="rId7" w:history="1">
        <w:hyperlink r:id="rId8" w:history="1">
          <w:r w:rsidRPr="00EB253F">
            <w:rPr>
              <w:rStyle w:val="Hyperlink"/>
              <w:rFonts w:ascii="Times New Roman" w:hAnsi="Times New Roman"/>
              <w:shd w:val="clear" w:color="auto" w:fill="FFFFFF"/>
            </w:rPr>
            <w:t>http://www.iri.org/sites/default/files/iri_moldova_poll_march_2017.pdf</w:t>
          </w:r>
        </w:hyperlink>
      </w:hyperlink>
    </w:p>
  </w:footnote>
  <w:footnote w:id="18">
    <w:p w:rsidR="0019475D" w:rsidRDefault="0019475D" w:rsidP="0019475D">
      <w:pPr>
        <w:spacing w:after="0" w:line="240" w:lineRule="atLeast"/>
        <w:jc w:val="both"/>
      </w:pPr>
      <w:r w:rsidRPr="00EB253F">
        <w:rPr>
          <w:rStyle w:val="FootnoteReference"/>
          <w:sz w:val="20"/>
          <w:szCs w:val="20"/>
        </w:rPr>
        <w:footnoteRef/>
      </w:r>
      <w:r w:rsidRPr="00EB253F">
        <w:rPr>
          <w:rFonts w:ascii="Times New Roman" w:hAnsi="Times New Roman"/>
          <w:sz w:val="20"/>
          <w:szCs w:val="20"/>
        </w:rPr>
        <w:t xml:space="preserve"> Стратегия реформы сектора юстиции на 2011–2016 год</w:t>
      </w:r>
      <w:r>
        <w:rPr>
          <w:rFonts w:ascii="Times New Roman" w:hAnsi="Times New Roman"/>
          <w:sz w:val="20"/>
          <w:szCs w:val="20"/>
        </w:rPr>
        <w:t>ы</w:t>
      </w:r>
      <w:r w:rsidRPr="00EB253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утвержденная</w:t>
      </w:r>
      <w:r w:rsidRPr="00EB253F">
        <w:rPr>
          <w:rFonts w:ascii="Times New Roman" w:hAnsi="Times New Roman"/>
          <w:sz w:val="20"/>
          <w:szCs w:val="20"/>
        </w:rPr>
        <w:t xml:space="preserve"> Законом № 231/2011</w:t>
      </w:r>
      <w:r>
        <w:rPr>
          <w:rFonts w:ascii="Times New Roman" w:hAnsi="Times New Roman"/>
          <w:sz w:val="20"/>
          <w:szCs w:val="20"/>
        </w:rPr>
        <w:t>,</w:t>
      </w:r>
      <w:r w:rsidRPr="00EB253F">
        <w:rPr>
          <w:rFonts w:ascii="Times New Roman" w:hAnsi="Times New Roman"/>
          <w:sz w:val="20"/>
          <w:szCs w:val="20"/>
        </w:rPr>
        <w:t xml:space="preserve"> и План де</w:t>
      </w:r>
      <w:r w:rsidRPr="00EB253F">
        <w:rPr>
          <w:rFonts w:ascii="Times New Roman" w:hAnsi="Times New Roman"/>
          <w:sz w:val="20"/>
          <w:szCs w:val="20"/>
        </w:rPr>
        <w:t>й</w:t>
      </w:r>
      <w:r w:rsidRPr="00EB253F">
        <w:rPr>
          <w:rFonts w:ascii="Times New Roman" w:hAnsi="Times New Roman"/>
          <w:sz w:val="20"/>
          <w:szCs w:val="20"/>
        </w:rPr>
        <w:t xml:space="preserve">ствий по реализации Стратегии реформы сектора юстиции на 2011–2016 годы, </w:t>
      </w:r>
      <w:r>
        <w:rPr>
          <w:rFonts w:ascii="Times New Roman" w:hAnsi="Times New Roman"/>
          <w:sz w:val="20"/>
          <w:szCs w:val="20"/>
        </w:rPr>
        <w:t>утвержденный</w:t>
      </w:r>
      <w:r w:rsidRPr="00EB253F">
        <w:rPr>
          <w:rFonts w:ascii="Times New Roman" w:hAnsi="Times New Roman"/>
          <w:sz w:val="20"/>
          <w:szCs w:val="20"/>
        </w:rPr>
        <w:t xml:space="preserve"> Постановлен</w:t>
      </w:r>
      <w:r w:rsidRPr="00EB253F">
        <w:rPr>
          <w:rFonts w:ascii="Times New Roman" w:hAnsi="Times New Roman"/>
          <w:sz w:val="20"/>
          <w:szCs w:val="20"/>
        </w:rPr>
        <w:t>и</w:t>
      </w:r>
      <w:r w:rsidRPr="00EB253F">
        <w:rPr>
          <w:rFonts w:ascii="Times New Roman" w:hAnsi="Times New Roman"/>
          <w:sz w:val="20"/>
          <w:szCs w:val="20"/>
        </w:rPr>
        <w:t>ем Парламента № 6/2012.</w:t>
      </w:r>
    </w:p>
  </w:footnote>
  <w:footnote w:id="19">
    <w:p w:rsidR="0019475D" w:rsidRDefault="0019475D" w:rsidP="0019475D">
      <w:pPr>
        <w:pStyle w:val="FootnoteText"/>
        <w:jc w:val="both"/>
      </w:pPr>
      <w:r w:rsidRPr="00EB253F">
        <w:rPr>
          <w:rStyle w:val="FootnoteReference"/>
          <w:rFonts w:ascii="Times New Roman" w:hAnsi="Times New Roman"/>
        </w:rPr>
        <w:footnoteRef/>
      </w:r>
      <w:r w:rsidRPr="00EB253F">
        <w:rPr>
          <w:rFonts w:ascii="Times New Roman" w:hAnsi="Times New Roman"/>
        </w:rPr>
        <w:t xml:space="preserve"> </w:t>
      </w:r>
      <w:r w:rsidRPr="00EB253F">
        <w:rPr>
          <w:rFonts w:ascii="Times New Roman" w:hAnsi="Times New Roman"/>
          <w:lang w:eastAsia="x-none"/>
        </w:rPr>
        <w:t>Крайний срок 20 декабря 2017 года установлен Постановлением Парламента об обеспечении непрерывн</w:t>
      </w:r>
      <w:r w:rsidRPr="00EB253F">
        <w:rPr>
          <w:rFonts w:ascii="Times New Roman" w:hAnsi="Times New Roman"/>
          <w:lang w:eastAsia="x-none"/>
        </w:rPr>
        <w:t>о</w:t>
      </w:r>
      <w:r w:rsidRPr="00EB253F">
        <w:rPr>
          <w:rFonts w:ascii="Times New Roman" w:hAnsi="Times New Roman"/>
          <w:lang w:eastAsia="x-none"/>
        </w:rPr>
        <w:t>сти реформ в секторе юстиции № 259/2016.</w:t>
      </w:r>
    </w:p>
  </w:footnote>
  <w:footnote w:id="20">
    <w:p w:rsidR="0019475D" w:rsidRDefault="0019475D" w:rsidP="0019475D">
      <w:pPr>
        <w:pStyle w:val="FootnoteText"/>
        <w:jc w:val="both"/>
      </w:pPr>
      <w:r w:rsidRPr="00EB253F">
        <w:rPr>
          <w:rStyle w:val="FootnoteReference"/>
          <w:rFonts w:ascii="Times New Roman" w:hAnsi="Times New Roman"/>
          <w:lang w:eastAsia="x-none"/>
        </w:rPr>
        <w:footnoteRef/>
      </w:r>
      <w:r w:rsidRPr="00EB253F">
        <w:rPr>
          <w:rFonts w:ascii="Times New Roman" w:hAnsi="Times New Roman"/>
          <w:lang w:eastAsia="x-none"/>
        </w:rPr>
        <w:t>Исследования, касающиеся дел о коррупции</w:t>
      </w:r>
      <w:r>
        <w:rPr>
          <w:rFonts w:ascii="Times New Roman" w:hAnsi="Times New Roman"/>
          <w:lang w:eastAsia="x-none"/>
        </w:rPr>
        <w:t>,</w:t>
      </w:r>
      <w:r w:rsidRPr="00EB253F">
        <w:rPr>
          <w:rFonts w:ascii="Times New Roman" w:hAnsi="Times New Roman"/>
          <w:lang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и </w:t>
      </w:r>
      <w:r w:rsidRPr="00EB253F">
        <w:rPr>
          <w:rFonts w:ascii="Times New Roman" w:hAnsi="Times New Roman"/>
          <w:lang w:eastAsia="x-none"/>
        </w:rPr>
        <w:t xml:space="preserve">отчеты о деятельности НЦБК, опубликованные на веб-странице </w:t>
      </w:r>
      <w:hyperlink r:id="rId9" w:history="1">
        <w:r w:rsidRPr="00EB253F">
          <w:rPr>
            <w:rStyle w:val="Hyperlink"/>
            <w:rFonts w:ascii="Times New Roman" w:hAnsi="Times New Roman"/>
            <w:lang w:eastAsia="x-none"/>
          </w:rPr>
          <w:t>www.cna.md</w:t>
        </w:r>
      </w:hyperlink>
      <w:r w:rsidRPr="00EB253F">
        <w:rPr>
          <w:rFonts w:ascii="Times New Roman" w:hAnsi="Times New Roman"/>
          <w:lang w:eastAsia="x-none"/>
        </w:rPr>
        <w:t xml:space="preserve">. </w:t>
      </w:r>
    </w:p>
  </w:footnote>
  <w:footnote w:id="21">
    <w:p w:rsidR="0019475D" w:rsidRDefault="0019475D" w:rsidP="0019475D">
      <w:pPr>
        <w:pStyle w:val="FootnoteText"/>
        <w:jc w:val="both"/>
      </w:pPr>
      <w:r w:rsidRPr="00EB253F">
        <w:rPr>
          <w:rStyle w:val="FootnoteReference"/>
          <w:rFonts w:ascii="Times New Roman" w:hAnsi="Times New Roman"/>
          <w:lang w:eastAsia="x-none"/>
        </w:rPr>
        <w:footnoteRef/>
      </w:r>
      <w:proofErr w:type="gramStart"/>
      <w:r w:rsidRPr="00EB253F">
        <w:rPr>
          <w:rFonts w:ascii="Times New Roman" w:hAnsi="Times New Roman"/>
          <w:lang w:eastAsia="x-none"/>
        </w:rPr>
        <w:t xml:space="preserve">Возможным объяснением может послужить </w:t>
      </w:r>
      <w:hyperlink r:id="rId10" w:tgtFrame="_blank" w:history="1">
        <w:r w:rsidRPr="00EB253F">
          <w:rPr>
            <w:rStyle w:val="Hyperlink"/>
            <w:rFonts w:ascii="Times New Roman" w:hAnsi="Times New Roman"/>
            <w:lang w:eastAsia="x-none"/>
          </w:rPr>
          <w:t xml:space="preserve">Постановление </w:t>
        </w:r>
        <w:r>
          <w:rPr>
            <w:rStyle w:val="Hyperlink"/>
            <w:rFonts w:ascii="Times New Roman" w:hAnsi="Times New Roman"/>
            <w:lang w:eastAsia="x-none"/>
          </w:rPr>
          <w:t xml:space="preserve">Конституционного суда </w:t>
        </w:r>
        <w:r w:rsidRPr="00EB253F">
          <w:rPr>
            <w:rStyle w:val="Hyperlink"/>
            <w:rFonts w:ascii="Times New Roman" w:hAnsi="Times New Roman"/>
            <w:lang w:eastAsia="x-none"/>
          </w:rPr>
          <w:t>№ 6/2015 о контроле конституционности некоторых положений Уголовного кодекса и Уголовно-процессуального кодекса (расш</w:t>
        </w:r>
        <w:r w:rsidRPr="00EB253F">
          <w:rPr>
            <w:rStyle w:val="Hyperlink"/>
            <w:rFonts w:ascii="Times New Roman" w:hAnsi="Times New Roman"/>
            <w:lang w:eastAsia="x-none"/>
          </w:rPr>
          <w:t>и</w:t>
        </w:r>
        <w:r w:rsidRPr="00EB253F">
          <w:rPr>
            <w:rStyle w:val="Hyperlink"/>
            <w:rFonts w:ascii="Times New Roman" w:hAnsi="Times New Roman"/>
            <w:lang w:eastAsia="x-none"/>
          </w:rPr>
          <w:t>ренная конфискация и незаконное обогащение)</w:t>
        </w:r>
      </w:hyperlink>
      <w:r w:rsidRPr="00EB253F">
        <w:rPr>
          <w:rFonts w:ascii="Times New Roman" w:hAnsi="Times New Roman"/>
          <w:lang w:eastAsia="x-none"/>
        </w:rPr>
        <w:t>, установившее</w:t>
      </w:r>
      <w:r w:rsidRPr="00EB253F">
        <w:rPr>
          <w:rFonts w:ascii="Times New Roman" w:hAnsi="Times New Roman"/>
          <w:lang w:val="ru" w:eastAsia="x-none"/>
        </w:rPr>
        <w:t xml:space="preserve"> одинаковые условия для расширенной и специальной конфискаций.</w:t>
      </w:r>
      <w:proofErr w:type="gramEnd"/>
    </w:p>
  </w:footnote>
  <w:footnote w:id="22">
    <w:p w:rsidR="0019475D" w:rsidRDefault="0019475D" w:rsidP="0019475D">
      <w:pPr>
        <w:pStyle w:val="FootnoteText"/>
        <w:jc w:val="both"/>
      </w:pPr>
      <w:r w:rsidRPr="00EB253F">
        <w:rPr>
          <w:rStyle w:val="FootnoteReference"/>
          <w:rFonts w:ascii="Times New Roman" w:hAnsi="Times New Roman"/>
          <w:lang w:val="ru" w:eastAsia="x-none"/>
        </w:rPr>
        <w:footnoteRef/>
      </w:r>
      <w:r w:rsidRPr="00EB253F">
        <w:rPr>
          <w:rFonts w:ascii="Times New Roman" w:hAnsi="Times New Roman"/>
          <w:lang w:val="ru" w:eastAsia="x-none"/>
        </w:rPr>
        <w:t>Исследование, касающееся приговоров, вынесенных по делам о коррупции в период с 2013 по 2015 годы.</w:t>
      </w:r>
    </w:p>
  </w:footnote>
  <w:footnote w:id="23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Национальная антикоррупционная комиссия, учрежденная в 2012 году, была преобразована в 2016 году в Национальный орган по неподкупности </w:t>
      </w:r>
      <w:r w:rsidRPr="00B440BD">
        <w:rPr>
          <w:rFonts w:ascii="Times New Roman" w:hAnsi="Times New Roman"/>
          <w:lang w:val="ru" w:eastAsia="x-none"/>
        </w:rPr>
        <w:t xml:space="preserve">(реформа в </w:t>
      </w:r>
      <w:r>
        <w:rPr>
          <w:rFonts w:ascii="Times New Roman" w:hAnsi="Times New Roman"/>
          <w:lang w:val="ru" w:eastAsia="x-none"/>
        </w:rPr>
        <w:t>процессе реализации</w:t>
      </w:r>
      <w:r w:rsidRPr="00B440BD">
        <w:rPr>
          <w:rFonts w:ascii="Times New Roman" w:hAnsi="Times New Roman"/>
          <w:lang w:val="ru" w:eastAsia="x-none"/>
        </w:rPr>
        <w:t>, до марта 2017 г</w:t>
      </w:r>
      <w:r>
        <w:rPr>
          <w:rFonts w:ascii="Times New Roman" w:hAnsi="Times New Roman"/>
          <w:lang w:val="ru" w:eastAsia="x-none"/>
        </w:rPr>
        <w:t>ода</w:t>
      </w:r>
      <w:r w:rsidRPr="00B440BD">
        <w:rPr>
          <w:rFonts w:ascii="Times New Roman" w:hAnsi="Times New Roman"/>
          <w:lang w:val="ru" w:eastAsia="x-none"/>
        </w:rPr>
        <w:t xml:space="preserve"> существовал только Совет по неподкупности, которому надлеж</w:t>
      </w:r>
      <w:r>
        <w:rPr>
          <w:rFonts w:ascii="Times New Roman" w:hAnsi="Times New Roman"/>
          <w:lang w:val="ru" w:eastAsia="x-none"/>
        </w:rPr>
        <w:t>ит</w:t>
      </w:r>
      <w:r w:rsidRPr="00B440BD">
        <w:rPr>
          <w:rFonts w:ascii="Times New Roman" w:hAnsi="Times New Roman"/>
          <w:lang w:val="ru" w:eastAsia="x-none"/>
        </w:rPr>
        <w:t xml:space="preserve"> выбр</w:t>
      </w:r>
      <w:r>
        <w:rPr>
          <w:rFonts w:ascii="Times New Roman" w:hAnsi="Times New Roman"/>
          <w:lang w:val="ru" w:eastAsia="x-none"/>
        </w:rPr>
        <w:t>ать будущее руководство Органа);</w:t>
      </w:r>
      <w:r w:rsidRPr="00B440BD">
        <w:rPr>
          <w:rFonts w:ascii="Times New Roman" w:hAnsi="Times New Roman"/>
          <w:lang w:val="ru" w:eastAsia="x-none"/>
        </w:rPr>
        <w:t xml:space="preserve"> Центр</w:t>
      </w:r>
      <w:r>
        <w:rPr>
          <w:rFonts w:ascii="Times New Roman" w:hAnsi="Times New Roman"/>
          <w:lang w:val="ru" w:eastAsia="x-none"/>
        </w:rPr>
        <w:t xml:space="preserve"> по борьбе с экономическими преступлениями и коррупцией в 2012 году был преобразован в Национальный центр по борьбе с коррупцией, который, в свою очередь, переходил из подчинения Правительству в подчинение Парламенту, и обратно; Антикоррупционная прокуратура, созданная в 2005 году, была реорганизована в течение 2016 года в рамках реформы прокуратуры. Пакет реформ НАК (НОН), принятый в 2016 году, сразу же после принятия и применения подвергся критике со стороны гражданского общества и реформированного органа. Так как в нем выявлено множество недостатков и недочетов, можно сделать вывод, что реформа НАК (НОН) не доработана.</w:t>
      </w:r>
    </w:p>
  </w:footnote>
  <w:footnote w:id="24">
    <w:p w:rsidR="0019475D" w:rsidRDefault="0019475D" w:rsidP="0019475D">
      <w:pPr>
        <w:widowControl w:val="0"/>
        <w:tabs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  <w:szCs w:val="20"/>
          <w:lang w:val="ru"/>
        </w:rPr>
        <w:footnoteRef/>
      </w:r>
      <w:r>
        <w:rPr>
          <w:rFonts w:ascii="Times New Roman" w:hAnsi="Times New Roman"/>
          <w:sz w:val="20"/>
          <w:szCs w:val="20"/>
          <w:lang w:val="ru"/>
        </w:rPr>
        <w:t>«Аналитическое исследование механизмов возмещения и конфискации активов в Республике Молдова», Педро Гомес Перейра, июнь 2016 года, проведенное при поддержке ПРООН-Молдова и Министерства иностранных дел Норвегии.</w:t>
      </w:r>
    </w:p>
  </w:footnote>
  <w:footnote w:id="25">
    <w:p w:rsidR="0019475D" w:rsidRDefault="0019475D" w:rsidP="0019475D">
      <w:pPr>
        <w:pStyle w:val="FootnoteText"/>
        <w:jc w:val="both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Исследование ЦАПК о степени включения в национальное законодательство положений Конвенции Совета Европы о гражданско-правовой ответственности за коррупцию. Новые решения и подходы для борьбы с коррупцией. </w:t>
      </w:r>
      <w:hyperlink r:id="rId11" w:history="1">
        <w:r>
          <w:rPr>
            <w:rStyle w:val="Hyperlink"/>
            <w:rFonts w:ascii="Times New Roman" w:hAnsi="Times New Roman"/>
            <w:lang w:val="ru" w:eastAsia="x-none"/>
          </w:rPr>
          <w:t>http://capc.md/ro/publications/</w:t>
        </w:r>
      </w:hyperlink>
    </w:p>
  </w:footnote>
  <w:footnote w:id="26">
    <w:p w:rsidR="0019475D" w:rsidRDefault="0019475D" w:rsidP="0019475D">
      <w:pPr>
        <w:pStyle w:val="FootnoteText"/>
        <w:jc w:val="both"/>
      </w:pPr>
      <w:r w:rsidRPr="00F6035E">
        <w:rPr>
          <w:rStyle w:val="FootnoteReference"/>
          <w:rFonts w:ascii="Times New Roman" w:hAnsi="Times New Roman"/>
          <w:lang w:eastAsia="x-none"/>
        </w:rPr>
        <w:footnoteRef/>
      </w:r>
      <w:proofErr w:type="gramStart"/>
      <w:r w:rsidRPr="00F6035E">
        <w:rPr>
          <w:rFonts w:ascii="Times New Roman" w:hAnsi="Times New Roman"/>
          <w:lang w:eastAsia="x-none"/>
        </w:rPr>
        <w:t>Ратифицированные</w:t>
      </w:r>
      <w:proofErr w:type="gramEnd"/>
      <w:r w:rsidRPr="00F6035E">
        <w:rPr>
          <w:rFonts w:ascii="Times New Roman" w:hAnsi="Times New Roman"/>
          <w:lang w:eastAsia="x-none"/>
        </w:rPr>
        <w:t xml:space="preserve"> Республикой Молдова Законом № 542</w:t>
      </w:r>
      <w:r>
        <w:rPr>
          <w:rFonts w:ascii="Times New Roman" w:hAnsi="Times New Roman"/>
          <w:lang w:eastAsia="x-none"/>
        </w:rPr>
        <w:t>/</w:t>
      </w:r>
      <w:r w:rsidRPr="00F6035E">
        <w:rPr>
          <w:rFonts w:ascii="Times New Roman" w:hAnsi="Times New Roman"/>
          <w:lang w:eastAsia="x-none"/>
        </w:rPr>
        <w:t>2003 и соотве</w:t>
      </w:r>
      <w:r>
        <w:rPr>
          <w:rFonts w:ascii="Times New Roman" w:hAnsi="Times New Roman"/>
          <w:lang w:eastAsia="x-none"/>
        </w:rPr>
        <w:t>т</w:t>
      </w:r>
      <w:r w:rsidRPr="00F6035E">
        <w:rPr>
          <w:rFonts w:ascii="Times New Roman" w:hAnsi="Times New Roman"/>
          <w:lang w:eastAsia="x-none"/>
        </w:rPr>
        <w:t>ственно</w:t>
      </w:r>
      <w:r>
        <w:rPr>
          <w:rFonts w:ascii="Times New Roman" w:hAnsi="Times New Roman"/>
          <w:lang w:eastAsia="x-none"/>
        </w:rPr>
        <w:t xml:space="preserve"> </w:t>
      </w:r>
      <w:r w:rsidRPr="00F6035E">
        <w:rPr>
          <w:rFonts w:ascii="Times New Roman" w:hAnsi="Times New Roman"/>
          <w:lang w:eastAsia="x-none"/>
        </w:rPr>
        <w:t>Законом № 158</w:t>
      </w:r>
      <w:r>
        <w:rPr>
          <w:rFonts w:ascii="Times New Roman" w:hAnsi="Times New Roman"/>
          <w:lang w:eastAsia="x-none"/>
        </w:rPr>
        <w:t>/</w:t>
      </w:r>
      <w:r w:rsidRPr="00F6035E">
        <w:rPr>
          <w:rFonts w:ascii="Times New Roman" w:hAnsi="Times New Roman"/>
          <w:lang w:eastAsia="x-none"/>
        </w:rPr>
        <w:t>2007</w:t>
      </w:r>
      <w:r>
        <w:rPr>
          <w:rFonts w:ascii="Times New Roman" w:hAnsi="Times New Roman"/>
          <w:lang w:eastAsia="x-none"/>
        </w:rPr>
        <w:t>.</w:t>
      </w:r>
    </w:p>
  </w:footnote>
  <w:footnote w:id="27">
    <w:p w:rsidR="0019475D" w:rsidRDefault="0019475D" w:rsidP="0019475D">
      <w:pPr>
        <w:pStyle w:val="FootnoteText"/>
        <w:jc w:val="both"/>
      </w:pPr>
      <w:r w:rsidRPr="00F6035E">
        <w:rPr>
          <w:rStyle w:val="FootnoteReference"/>
          <w:rFonts w:ascii="Times New Roman" w:hAnsi="Times New Roman"/>
          <w:lang w:eastAsia="x-none"/>
        </w:rPr>
        <w:footnoteRef/>
      </w:r>
      <w:r w:rsidRPr="00F6035E">
        <w:rPr>
          <w:rFonts w:ascii="Times New Roman" w:hAnsi="Times New Roman"/>
          <w:lang w:eastAsia="x-none"/>
        </w:rPr>
        <w:t xml:space="preserve">В </w:t>
      </w:r>
      <w:r>
        <w:rPr>
          <w:rFonts w:ascii="Times New Roman" w:hAnsi="Times New Roman"/>
          <w:lang w:eastAsia="x-none"/>
        </w:rPr>
        <w:t>2015–</w:t>
      </w:r>
      <w:r w:rsidRPr="00F6035E">
        <w:rPr>
          <w:rFonts w:ascii="Times New Roman" w:hAnsi="Times New Roman"/>
          <w:lang w:eastAsia="x-none"/>
        </w:rPr>
        <w:t>2016 г</w:t>
      </w:r>
      <w:r>
        <w:rPr>
          <w:rFonts w:ascii="Times New Roman" w:hAnsi="Times New Roman"/>
          <w:lang w:eastAsia="x-none"/>
        </w:rPr>
        <w:t>одах</w:t>
      </w:r>
      <w:r w:rsidRPr="00F6035E">
        <w:rPr>
          <w:rFonts w:ascii="Times New Roman" w:hAnsi="Times New Roman"/>
          <w:lang w:eastAsia="x-none"/>
        </w:rPr>
        <w:t xml:space="preserve"> НЦБК провело обучение около 60000 человек, половина которых – публичные </w:t>
      </w:r>
      <w:r>
        <w:rPr>
          <w:rFonts w:ascii="Times New Roman" w:hAnsi="Times New Roman"/>
          <w:lang w:eastAsia="x-none"/>
        </w:rPr>
        <w:t>аге</w:t>
      </w:r>
      <w:r>
        <w:rPr>
          <w:rFonts w:ascii="Times New Roman" w:hAnsi="Times New Roman"/>
          <w:lang w:eastAsia="x-none"/>
        </w:rPr>
        <w:t>н</w:t>
      </w:r>
      <w:r>
        <w:rPr>
          <w:rFonts w:ascii="Times New Roman" w:hAnsi="Times New Roman"/>
          <w:lang w:eastAsia="x-none"/>
        </w:rPr>
        <w:t>ты</w:t>
      </w:r>
      <w:r w:rsidRPr="00F6035E">
        <w:rPr>
          <w:rFonts w:ascii="Times New Roman" w:hAnsi="Times New Roman"/>
          <w:lang w:eastAsia="x-none"/>
        </w:rPr>
        <w:t>, а другая половина – молодежь и школьники.</w:t>
      </w:r>
    </w:p>
  </w:footnote>
  <w:footnote w:id="28">
    <w:p w:rsidR="0019475D" w:rsidRDefault="0019475D" w:rsidP="0019475D">
      <w:pPr>
        <w:pStyle w:val="FootnoteText"/>
        <w:jc w:val="both"/>
      </w:pPr>
      <w:r w:rsidRPr="00F6035E">
        <w:rPr>
          <w:rStyle w:val="FootnoteReference"/>
          <w:rFonts w:ascii="Times New Roman" w:hAnsi="Times New Roman"/>
          <w:lang w:eastAsia="x-none"/>
        </w:rPr>
        <w:footnoteRef/>
      </w:r>
      <w:r w:rsidRPr="00F6035E">
        <w:rPr>
          <w:rFonts w:ascii="Times New Roman" w:hAnsi="Times New Roman"/>
          <w:lang w:eastAsia="x-none"/>
        </w:rPr>
        <w:t xml:space="preserve">Согласно </w:t>
      </w:r>
      <w:r>
        <w:rPr>
          <w:rFonts w:ascii="Times New Roman" w:hAnsi="Times New Roman"/>
          <w:lang w:eastAsia="x-none"/>
        </w:rPr>
        <w:t>и</w:t>
      </w:r>
      <w:r w:rsidRPr="00F6035E">
        <w:rPr>
          <w:rFonts w:ascii="Times New Roman" w:hAnsi="Times New Roman"/>
          <w:lang w:eastAsia="x-none"/>
        </w:rPr>
        <w:t xml:space="preserve">сследованию «Процесс узаконивания интересов: </w:t>
      </w:r>
      <w:proofErr w:type="spellStart"/>
      <w:r w:rsidRPr="00F6035E">
        <w:rPr>
          <w:rFonts w:ascii="Times New Roman" w:hAnsi="Times New Roman"/>
          <w:i/>
          <w:iCs/>
          <w:lang w:eastAsia="x-none"/>
        </w:rPr>
        <w:t>Qui</w:t>
      </w:r>
      <w:proofErr w:type="spellEnd"/>
      <w:r w:rsidRPr="00F6035E">
        <w:rPr>
          <w:rFonts w:ascii="Times New Roman" w:hAnsi="Times New Roman"/>
          <w:i/>
          <w:iCs/>
          <w:lang w:eastAsia="x-none"/>
        </w:rPr>
        <w:t xml:space="preserve"> </w:t>
      </w:r>
      <w:proofErr w:type="spellStart"/>
      <w:r w:rsidRPr="00F6035E">
        <w:rPr>
          <w:rFonts w:ascii="Times New Roman" w:hAnsi="Times New Roman"/>
          <w:i/>
          <w:iCs/>
          <w:lang w:eastAsia="x-none"/>
        </w:rPr>
        <w:t>prodest</w:t>
      </w:r>
      <w:proofErr w:type="spellEnd"/>
      <w:r w:rsidRPr="00F6035E">
        <w:rPr>
          <w:rFonts w:ascii="Times New Roman" w:hAnsi="Times New Roman"/>
          <w:i/>
          <w:iCs/>
          <w:lang w:eastAsia="x-none"/>
        </w:rPr>
        <w:t>?</w:t>
      </w:r>
      <w:r w:rsidRPr="00F6035E">
        <w:rPr>
          <w:rFonts w:ascii="Times New Roman" w:hAnsi="Times New Roman"/>
          <w:lang w:eastAsia="x-none"/>
        </w:rPr>
        <w:t xml:space="preserve"> </w:t>
      </w:r>
      <w:proofErr w:type="gramStart"/>
      <w:r w:rsidRPr="00F6035E">
        <w:rPr>
          <w:rFonts w:ascii="Times New Roman" w:hAnsi="Times New Roman"/>
          <w:lang w:eastAsia="x-none"/>
        </w:rPr>
        <w:t>Заключения антикоррупционной экспертизы», проведенному НЦБК при поддержке ПРООН-Молдова и Министерства иностранных дел Но</w:t>
      </w:r>
      <w:r w:rsidRPr="00F6035E">
        <w:rPr>
          <w:rFonts w:ascii="Times New Roman" w:hAnsi="Times New Roman"/>
          <w:lang w:eastAsia="x-none"/>
        </w:rPr>
        <w:t>р</w:t>
      </w:r>
      <w:r w:rsidRPr="00F6035E">
        <w:rPr>
          <w:rFonts w:ascii="Times New Roman" w:hAnsi="Times New Roman"/>
          <w:lang w:eastAsia="x-none"/>
        </w:rPr>
        <w:t>вегии, в результате отклонения/отзыва проектов</w:t>
      </w:r>
      <w:r>
        <w:rPr>
          <w:rFonts w:ascii="Times New Roman" w:hAnsi="Times New Roman"/>
          <w:lang w:eastAsia="x-none"/>
        </w:rPr>
        <w:t xml:space="preserve"> нормативных актов</w:t>
      </w:r>
      <w:r w:rsidRPr="00F6035E">
        <w:rPr>
          <w:rFonts w:ascii="Times New Roman" w:hAnsi="Times New Roman"/>
          <w:lang w:eastAsia="x-none"/>
        </w:rPr>
        <w:t>, подвергнутых экспертизе, удалось предотвратить ущерб в размере 198340,946 тыс</w:t>
      </w:r>
      <w:r>
        <w:rPr>
          <w:rFonts w:ascii="Times New Roman" w:hAnsi="Times New Roman"/>
          <w:lang w:eastAsia="x-none"/>
        </w:rPr>
        <w:t>.</w:t>
      </w:r>
      <w:r w:rsidRPr="00F6035E">
        <w:rPr>
          <w:rFonts w:ascii="Times New Roman" w:hAnsi="Times New Roman"/>
          <w:lang w:eastAsia="x-none"/>
        </w:rPr>
        <w:t xml:space="preserve"> леев, </w:t>
      </w:r>
      <w:r>
        <w:rPr>
          <w:rFonts w:ascii="Times New Roman" w:hAnsi="Times New Roman"/>
          <w:lang w:eastAsia="x-none"/>
        </w:rPr>
        <w:t>однако не удалось избежать</w:t>
      </w:r>
      <w:r w:rsidRPr="00F6035E">
        <w:rPr>
          <w:rFonts w:ascii="Times New Roman" w:hAnsi="Times New Roman"/>
          <w:lang w:eastAsia="x-none"/>
        </w:rPr>
        <w:t xml:space="preserve"> убытков в размере 279646,139 тыс. леев по проектам</w:t>
      </w:r>
      <w:r>
        <w:rPr>
          <w:rFonts w:ascii="Times New Roman" w:hAnsi="Times New Roman"/>
          <w:lang w:eastAsia="x-none"/>
        </w:rPr>
        <w:t xml:space="preserve"> нормативных актов</w:t>
      </w:r>
      <w:r w:rsidRPr="00F6035E">
        <w:rPr>
          <w:rFonts w:ascii="Times New Roman" w:hAnsi="Times New Roman"/>
          <w:lang w:eastAsia="x-none"/>
        </w:rPr>
        <w:t>, принятым вопреки возражениям, сформулированным в р</w:t>
      </w:r>
      <w:r w:rsidRPr="00F6035E">
        <w:rPr>
          <w:rFonts w:ascii="Times New Roman" w:hAnsi="Times New Roman"/>
          <w:lang w:eastAsia="x-none"/>
        </w:rPr>
        <w:t>е</w:t>
      </w:r>
      <w:r w:rsidRPr="00F6035E">
        <w:rPr>
          <w:rFonts w:ascii="Times New Roman" w:hAnsi="Times New Roman"/>
          <w:lang w:eastAsia="x-none"/>
        </w:rPr>
        <w:t xml:space="preserve">зультате </w:t>
      </w:r>
      <w:r>
        <w:rPr>
          <w:rFonts w:ascii="Times New Roman" w:hAnsi="Times New Roman"/>
          <w:lang w:eastAsia="x-none"/>
        </w:rPr>
        <w:t xml:space="preserve">антикоррупционной </w:t>
      </w:r>
      <w:r w:rsidRPr="00F6035E">
        <w:rPr>
          <w:rFonts w:ascii="Times New Roman" w:hAnsi="Times New Roman"/>
          <w:lang w:eastAsia="x-none"/>
        </w:rPr>
        <w:t>экспертизы.</w:t>
      </w:r>
      <w:proofErr w:type="gramEnd"/>
    </w:p>
  </w:footnote>
  <w:footnote w:id="29">
    <w:p w:rsidR="0019475D" w:rsidRDefault="0019475D" w:rsidP="0019475D">
      <w:pPr>
        <w:pStyle w:val="FootnoteText"/>
        <w:jc w:val="both"/>
      </w:pPr>
      <w:r w:rsidRPr="00F6035E">
        <w:rPr>
          <w:rStyle w:val="FootnoteReference"/>
          <w:rFonts w:ascii="Times New Roman" w:hAnsi="Times New Roman"/>
          <w:lang w:eastAsia="x-none"/>
        </w:rPr>
        <w:footnoteRef/>
      </w:r>
      <w:r w:rsidRPr="00F6035E">
        <w:rPr>
          <w:rFonts w:ascii="Times New Roman" w:hAnsi="Times New Roman"/>
          <w:lang w:eastAsia="x-none"/>
        </w:rPr>
        <w:t>Закон № 102</w:t>
      </w:r>
      <w:r>
        <w:rPr>
          <w:rFonts w:ascii="Times New Roman" w:hAnsi="Times New Roman"/>
          <w:lang w:eastAsia="x-none"/>
        </w:rPr>
        <w:t>/</w:t>
      </w:r>
      <w:r w:rsidRPr="00F6035E">
        <w:rPr>
          <w:rFonts w:ascii="Times New Roman" w:hAnsi="Times New Roman"/>
          <w:lang w:eastAsia="x-none"/>
        </w:rPr>
        <w:t>2016, в результате которого был повторно опубликован Закон №</w:t>
      </w:r>
      <w:r>
        <w:rPr>
          <w:rFonts w:ascii="Times New Roman" w:hAnsi="Times New Roman"/>
          <w:lang w:eastAsia="x-none"/>
        </w:rPr>
        <w:t xml:space="preserve"> </w:t>
      </w:r>
      <w:r w:rsidRPr="00F6035E">
        <w:rPr>
          <w:rFonts w:ascii="Times New Roman" w:hAnsi="Times New Roman"/>
          <w:lang w:eastAsia="x-none"/>
        </w:rPr>
        <w:t>325</w:t>
      </w:r>
      <w:r>
        <w:rPr>
          <w:rFonts w:ascii="Times New Roman" w:hAnsi="Times New Roman"/>
          <w:lang w:eastAsia="x-none"/>
        </w:rPr>
        <w:t>/</w:t>
      </w:r>
      <w:r w:rsidRPr="00F6035E">
        <w:rPr>
          <w:rFonts w:ascii="Times New Roman" w:hAnsi="Times New Roman"/>
          <w:lang w:eastAsia="x-none"/>
        </w:rPr>
        <w:t>2013</w:t>
      </w:r>
    </w:p>
  </w:footnote>
  <w:footnote w:id="30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Национальная система неподкупности – Молдова 2014, </w:t>
      </w:r>
      <w:proofErr w:type="spellStart"/>
      <w:r>
        <w:rPr>
          <w:rFonts w:ascii="Times New Roman" w:hAnsi="Times New Roman"/>
          <w:lang w:val="ru" w:eastAsia="x-none"/>
        </w:rPr>
        <w:t>Transparency</w:t>
      </w:r>
      <w:proofErr w:type="spellEnd"/>
      <w:r>
        <w:rPr>
          <w:rFonts w:ascii="Times New Roman" w:hAnsi="Times New Roman"/>
          <w:lang w:val="ru" w:eastAsia="x-none"/>
        </w:rPr>
        <w:t xml:space="preserve"> </w:t>
      </w:r>
      <w:proofErr w:type="spellStart"/>
      <w:r>
        <w:rPr>
          <w:rFonts w:ascii="Times New Roman" w:hAnsi="Times New Roman"/>
          <w:lang w:val="ru" w:eastAsia="x-none"/>
        </w:rPr>
        <w:t>International</w:t>
      </w:r>
      <w:proofErr w:type="spellEnd"/>
      <w:r>
        <w:rPr>
          <w:rFonts w:ascii="Times New Roman" w:hAnsi="Times New Roman"/>
          <w:lang w:val="ru" w:eastAsia="x-none"/>
        </w:rPr>
        <w:t xml:space="preserve"> Молдова</w:t>
      </w:r>
    </w:p>
  </w:footnote>
  <w:footnote w:id="31">
    <w:p w:rsidR="0019475D" w:rsidRDefault="0019475D" w:rsidP="0019475D">
      <w:pPr>
        <w:pStyle w:val="FootnoteText"/>
      </w:pPr>
      <w:r w:rsidRPr="00242859">
        <w:rPr>
          <w:rStyle w:val="FootnoteReference"/>
          <w:rFonts w:ascii="Times New Roman" w:hAnsi="Times New Roman"/>
        </w:rPr>
        <w:footnoteRef/>
      </w:r>
      <w:r w:rsidRPr="00242859">
        <w:rPr>
          <w:rFonts w:ascii="Times New Roman" w:hAnsi="Times New Roman"/>
        </w:rPr>
        <w:t xml:space="preserve"> </w:t>
      </w:r>
      <w:hyperlink r:id="rId12" w:history="1">
        <w:r w:rsidRPr="00242859">
          <w:rPr>
            <w:rStyle w:val="Hyperlink"/>
            <w:rFonts w:ascii="Times New Roman" w:hAnsi="Times New Roman"/>
            <w:shd w:val="clear" w:color="auto" w:fill="FFFFFF"/>
          </w:rPr>
          <w:t>http://www.iri.org/sites/default/files/iri_moldova_poll_march_2017.pdf</w:t>
        </w:r>
      </w:hyperlink>
      <w:r w:rsidRPr="00242859">
        <w:rPr>
          <w:rFonts w:ascii="Times New Roman" w:hAnsi="Times New Roman"/>
          <w:lang w:val="ro-RO" w:eastAsia="x-none"/>
        </w:rPr>
        <w:t xml:space="preserve"> </w:t>
      </w:r>
    </w:p>
  </w:footnote>
  <w:footnote w:id="32">
    <w:p w:rsidR="0019475D" w:rsidRDefault="0019475D" w:rsidP="0019475D">
      <w:pPr>
        <w:pStyle w:val="FootnoteText"/>
        <w:jc w:val="both"/>
      </w:pPr>
      <w:r w:rsidRPr="00242859">
        <w:rPr>
          <w:rStyle w:val="FootnoteReference"/>
          <w:rFonts w:ascii="Times New Roman" w:hAnsi="Times New Roman"/>
          <w:lang w:val="ru" w:eastAsia="x-none"/>
        </w:rPr>
        <w:footnoteRef/>
      </w:r>
      <w:r w:rsidRPr="00242859">
        <w:rPr>
          <w:rFonts w:ascii="Times New Roman" w:hAnsi="Times New Roman"/>
          <w:lang w:val="ru" w:eastAsia="x-none"/>
        </w:rPr>
        <w:t xml:space="preserve"> Принято ГРЕКО на 70-м </w:t>
      </w:r>
      <w:r>
        <w:rPr>
          <w:rFonts w:ascii="Times New Roman" w:hAnsi="Times New Roman"/>
          <w:lang w:val="ru" w:eastAsia="x-none"/>
        </w:rPr>
        <w:t>п</w:t>
      </w:r>
      <w:r w:rsidRPr="00242859">
        <w:rPr>
          <w:rFonts w:ascii="Times New Roman" w:hAnsi="Times New Roman"/>
          <w:lang w:val="ru" w:eastAsia="x-none"/>
        </w:rPr>
        <w:t xml:space="preserve">ленарном заседании (Страсбург, 30 ноября – 4 декабря 2015 года) </w:t>
      </w:r>
      <w:hyperlink r:id="rId13" w:history="1">
        <w:r w:rsidRPr="00242859">
          <w:rPr>
            <w:rStyle w:val="Hyperlink"/>
            <w:rFonts w:ascii="Times New Roman" w:hAnsi="Times New Roman"/>
            <w:lang w:val="ru" w:eastAsia="x-none"/>
          </w:rPr>
          <w:t>http://procuratura.md/file/Greco%20RC-III%20(2015)%20md%20Moldova%20addendum%202e%20RC%20public.pdf</w:t>
        </w:r>
      </w:hyperlink>
      <w:r w:rsidRPr="00242859">
        <w:rPr>
          <w:rFonts w:ascii="Times New Roman" w:hAnsi="Times New Roman"/>
          <w:lang w:val="ru" w:eastAsia="x-none"/>
        </w:rPr>
        <w:t xml:space="preserve"> </w:t>
      </w:r>
    </w:p>
  </w:footnote>
  <w:footnote w:id="33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Ожидаемый результат 6, раздел 4.3 «Ожидаемые результаты», Глава IV «Ключевые элементы стратегии».</w:t>
      </w:r>
    </w:p>
  </w:footnote>
  <w:footnote w:id="34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lang w:val="ru" w:eastAsia="x-none"/>
          </w:rPr>
          <w:t>http://cna.md/sites/default/files/sna_rapoarte/evaluarea_preliminara_sna_2011-2015_03.2016_0.doc</w:t>
        </w:r>
      </w:hyperlink>
      <w:r>
        <w:rPr>
          <w:rFonts w:ascii="Times New Roman" w:hAnsi="Times New Roman"/>
          <w:lang w:val="ru" w:eastAsia="x-none"/>
        </w:rPr>
        <w:t>, стр. 36.</w:t>
      </w:r>
    </w:p>
  </w:footnote>
  <w:footnote w:id="35">
    <w:p w:rsidR="0019475D" w:rsidRDefault="0019475D" w:rsidP="0019475D">
      <w:pPr>
        <w:pStyle w:val="FootnoteText"/>
        <w:jc w:val="both"/>
      </w:pPr>
      <w:r w:rsidRPr="004D019F">
        <w:rPr>
          <w:rStyle w:val="FootnoteReference"/>
          <w:rFonts w:ascii="Times New Roman" w:hAnsi="Times New Roman"/>
          <w:lang w:val="ru" w:eastAsia="x-none"/>
        </w:rPr>
        <w:footnoteRef/>
      </w:r>
      <w:r w:rsidRPr="004D019F">
        <w:rPr>
          <w:rFonts w:ascii="Times New Roman" w:hAnsi="Times New Roman"/>
          <w:lang w:val="ru" w:eastAsia="x-none"/>
        </w:rPr>
        <w:t xml:space="preserve"> </w:t>
      </w:r>
      <w:hyperlink r:id="rId15" w:history="1">
        <w:r w:rsidRPr="004D019F">
          <w:rPr>
            <w:rStyle w:val="Hyperlink"/>
            <w:rFonts w:ascii="Times New Roman" w:hAnsi="Times New Roman"/>
            <w:lang w:val="ru" w:eastAsia="x-none"/>
          </w:rPr>
          <w:t>http://www.ccrm.md/doc.php?l=ro&amp;idc=196&amp;id=5854&amp;t=/Cadrul-legal/Regulamente/Regulamentul-privind-procedurile-aplicate-in-cadrul-Curtii-de-Conturi-in-cazul-identificariideterminarii-de-catre-auditori-a-riscului-de-fraudacoruptie</w:t>
        </w:r>
      </w:hyperlink>
      <w:r w:rsidRPr="004D019F">
        <w:rPr>
          <w:rFonts w:ascii="Times New Roman" w:hAnsi="Times New Roman"/>
          <w:lang w:val="ru" w:eastAsia="x-none"/>
        </w:rPr>
        <w:t xml:space="preserve"> </w:t>
      </w:r>
    </w:p>
  </w:footnote>
  <w:footnote w:id="36">
    <w:p w:rsidR="0019475D" w:rsidRDefault="0019475D" w:rsidP="0019475D">
      <w:pPr>
        <w:pStyle w:val="FootnoteText"/>
        <w:jc w:val="both"/>
      </w:pPr>
      <w:r w:rsidRPr="004D019F">
        <w:rPr>
          <w:rStyle w:val="FootnoteReference"/>
          <w:rFonts w:ascii="Times New Roman" w:hAnsi="Times New Roman"/>
          <w:lang w:val="ru" w:eastAsia="x-none"/>
        </w:rPr>
        <w:footnoteRef/>
      </w:r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Transparency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International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Молдова «Нац</w:t>
      </w:r>
      <w:r>
        <w:rPr>
          <w:rFonts w:ascii="Times New Roman" w:hAnsi="Times New Roman"/>
          <w:lang w:val="ru" w:eastAsia="x-none"/>
        </w:rPr>
        <w:t>иональная система неподкупности –</w:t>
      </w:r>
      <w:r w:rsidRPr="004D019F">
        <w:rPr>
          <w:rFonts w:ascii="Times New Roman" w:hAnsi="Times New Roman"/>
          <w:lang w:val="ru" w:eastAsia="x-none"/>
        </w:rPr>
        <w:t xml:space="preserve"> Молдова 2014</w:t>
      </w:r>
      <w:r>
        <w:rPr>
          <w:rFonts w:ascii="Times New Roman" w:hAnsi="Times New Roman"/>
          <w:lang w:val="ru" w:eastAsia="x-none"/>
        </w:rPr>
        <w:t>»;</w:t>
      </w:r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Transparency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International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Moldova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«Мониторинг внедрения решений Счетной палаты: дело МВД»; </w:t>
      </w:r>
      <w:proofErr w:type="spellStart"/>
      <w:r w:rsidRPr="004D019F">
        <w:rPr>
          <w:rFonts w:ascii="Times New Roman" w:hAnsi="Times New Roman"/>
          <w:lang w:val="ru" w:eastAsia="x-none"/>
        </w:rPr>
        <w:t>Expert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</w:t>
      </w:r>
      <w:proofErr w:type="spellStart"/>
      <w:r w:rsidRPr="004D019F">
        <w:rPr>
          <w:rFonts w:ascii="Times New Roman" w:hAnsi="Times New Roman"/>
          <w:lang w:val="ru" w:eastAsia="x-none"/>
        </w:rPr>
        <w:t>Grup</w:t>
      </w:r>
      <w:proofErr w:type="spellEnd"/>
      <w:r w:rsidRPr="004D019F">
        <w:rPr>
          <w:rFonts w:ascii="Times New Roman" w:hAnsi="Times New Roman"/>
          <w:lang w:val="ru" w:eastAsia="x-none"/>
        </w:rPr>
        <w:t xml:space="preserve"> «Мониторинг исполнения решений Счетной палаты в 2014 г</w:t>
      </w:r>
      <w:r>
        <w:rPr>
          <w:rFonts w:ascii="Times New Roman" w:hAnsi="Times New Roman"/>
          <w:lang w:val="ru" w:eastAsia="x-none"/>
        </w:rPr>
        <w:t>оду</w:t>
      </w:r>
      <w:r w:rsidRPr="004D019F">
        <w:rPr>
          <w:rFonts w:ascii="Times New Roman" w:hAnsi="Times New Roman"/>
          <w:lang w:val="ru" w:eastAsia="x-none"/>
        </w:rPr>
        <w:t>»</w:t>
      </w:r>
      <w:r>
        <w:rPr>
          <w:rFonts w:ascii="Times New Roman" w:hAnsi="Times New Roman"/>
          <w:lang w:val="ru" w:eastAsia="x-none"/>
        </w:rPr>
        <w:t>.</w:t>
      </w:r>
      <w:r w:rsidRPr="004D019F">
        <w:rPr>
          <w:rFonts w:ascii="Times New Roman" w:hAnsi="Times New Roman"/>
          <w:lang w:val="ru" w:eastAsia="x-none"/>
        </w:rPr>
        <w:t xml:space="preserve"> </w:t>
      </w:r>
      <w:hyperlink r:id="rId16" w:history="1">
        <w:r w:rsidRPr="004D019F">
          <w:rPr>
            <w:rStyle w:val="Hyperlink"/>
            <w:rFonts w:ascii="Times New Roman" w:hAnsi="Times New Roman"/>
            <w:lang w:val="ru" w:eastAsia="x-none"/>
          </w:rPr>
          <w:t>http://www.expert-grup.org/ro/biblioteca/item/1182-studiu-monitorizare-cc-2014&amp;category=180</w:t>
        </w:r>
      </w:hyperlink>
      <w:r w:rsidRPr="004D019F">
        <w:rPr>
          <w:rFonts w:ascii="Times New Roman" w:hAnsi="Times New Roman"/>
          <w:lang w:val="ru" w:eastAsia="x-none"/>
        </w:rPr>
        <w:t xml:space="preserve"> </w:t>
      </w:r>
    </w:p>
  </w:footnote>
  <w:footnote w:id="37">
    <w:p w:rsidR="0019475D" w:rsidRDefault="0019475D" w:rsidP="0019475D">
      <w:pPr>
        <w:pStyle w:val="FootnoteText"/>
      </w:pPr>
      <w:r w:rsidRPr="009258BC">
        <w:rPr>
          <w:rStyle w:val="FootnoteReference"/>
          <w:rFonts w:ascii="Times New Roman" w:hAnsi="Times New Roman"/>
          <w:color w:val="000000"/>
          <w:lang w:val="ru" w:eastAsia="x-none"/>
        </w:rPr>
        <w:footnoteRef/>
      </w:r>
      <w:hyperlink r:id="rId17" w:history="1">
        <w:r w:rsidRPr="009258BC">
          <w:rPr>
            <w:rStyle w:val="Hyperlink"/>
            <w:rFonts w:ascii="Times New Roman" w:hAnsi="Times New Roman"/>
            <w:color w:val="000000"/>
            <w:lang w:val="ru" w:eastAsia="x-none"/>
          </w:rPr>
          <w:t>http://www.expert-grup.org/ro/biblioteca/sectorul-public/item/1332-despre-cum-se-pierd-banii-</w:t>
        </w:r>
        <w:r w:rsidRPr="009258BC">
          <w:rPr>
            <w:rStyle w:val="Hyperlink"/>
            <w:rFonts w:ascii="Times New Roman" w:hAnsi="Times New Roman"/>
            <w:color w:val="000000"/>
            <w:lang w:val="en-US" w:eastAsia="x-none"/>
          </w:rPr>
          <w:t>p</w:t>
        </w:r>
        <w:proofErr w:type="spellStart"/>
        <w:r w:rsidRPr="009258BC">
          <w:rPr>
            <w:rStyle w:val="Hyperlink"/>
            <w:rFonts w:ascii="Times New Roman" w:hAnsi="Times New Roman"/>
            <w:color w:val="000000"/>
            <w:lang w:val="ru" w:eastAsia="x-none"/>
          </w:rPr>
          <w:t>ublici&amp;category</w:t>
        </w:r>
        <w:proofErr w:type="spellEnd"/>
        <w:r w:rsidRPr="009258BC">
          <w:rPr>
            <w:rStyle w:val="Hyperlink"/>
            <w:rFonts w:ascii="Times New Roman" w:hAnsi="Times New Roman"/>
            <w:color w:val="000000"/>
            <w:lang w:val="ru" w:eastAsia="x-none"/>
          </w:rPr>
          <w:t>=180</w:t>
        </w:r>
      </w:hyperlink>
      <w:r w:rsidRPr="009258BC">
        <w:rPr>
          <w:rFonts w:ascii="Times New Roman" w:hAnsi="Times New Roman"/>
          <w:color w:val="000000"/>
          <w:lang w:val="ru" w:eastAsia="x-none"/>
        </w:rPr>
        <w:t xml:space="preserve"> </w:t>
      </w:r>
    </w:p>
  </w:footnote>
  <w:footnote w:id="38">
    <w:p w:rsidR="0019475D" w:rsidRDefault="0019475D" w:rsidP="0019475D">
      <w:pPr>
        <w:pStyle w:val="FootnoteText"/>
      </w:pPr>
      <w:r>
        <w:rPr>
          <w:rStyle w:val="FootnoteReference"/>
          <w:rFonts w:ascii="Times New Roman" w:hAnsi="Times New Roman"/>
          <w:lang w:val="ru" w:eastAsia="x-none"/>
        </w:rPr>
        <w:footnoteRef/>
      </w:r>
      <w:r>
        <w:rPr>
          <w:rFonts w:ascii="Times New Roman" w:hAnsi="Times New Roman"/>
          <w:lang w:val="ru" w:eastAsia="x-none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  <w:lang w:val="ru" w:eastAsia="x-none"/>
          </w:rPr>
          <w:t>http://www.state.gov/documents/organization/253089.pdf</w:t>
        </w:r>
      </w:hyperlink>
      <w:r>
        <w:rPr>
          <w:rFonts w:ascii="Times New Roman" w:hAnsi="Times New Roman"/>
          <w:lang w:val="ru" w:eastAsia="x-none"/>
        </w:rPr>
        <w:t xml:space="preserve"> </w:t>
      </w:r>
    </w:p>
  </w:footnote>
  <w:footnote w:id="39">
    <w:p w:rsidR="0019475D" w:rsidRDefault="0019475D" w:rsidP="0019475D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  <w:szCs w:val="20"/>
          <w:lang w:val="ru"/>
        </w:rPr>
        <w:footnoteRef/>
      </w:r>
      <w:r>
        <w:rPr>
          <w:rFonts w:ascii="Times New Roman" w:hAnsi="Times New Roman"/>
          <w:sz w:val="20"/>
          <w:szCs w:val="20"/>
          <w:lang w:val="ru"/>
        </w:rPr>
        <w:t xml:space="preserve"> Отчет, составленный по заказу Программы ООН по развитию (ПРООН) в рамках Проекта «Укрепление функции по предотвращению коррупции и аналитической функции Национального центра по борьбе с коррупцией», реализуемого при финансовой поддержке Министерства иностранных дел Норвегии.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DF" w:rsidRPr="005336B1" w:rsidRDefault="000B1C35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</w:t>
    </w:r>
    <w:r w:rsidRPr="00091F06">
      <w:rPr>
        <w:rFonts w:ascii="Times New Roman" w:hAnsi="Times New Roman"/>
        <w:sz w:val="28"/>
        <w:szCs w:val="28"/>
      </w:rPr>
      <w:fldChar w:fldCharType="begin"/>
    </w:r>
    <w:r w:rsidRPr="00091F06">
      <w:rPr>
        <w:rFonts w:ascii="Times New Roman" w:hAnsi="Times New Roman"/>
        <w:sz w:val="28"/>
        <w:szCs w:val="28"/>
      </w:rPr>
      <w:instrText xml:space="preserve"> PAGE   \* MERGEFORMAT </w:instrText>
    </w:r>
    <w:r w:rsidRPr="00091F06">
      <w:rPr>
        <w:rFonts w:ascii="Times New Roman" w:hAnsi="Times New Roman"/>
        <w:sz w:val="28"/>
        <w:szCs w:val="28"/>
      </w:rPr>
      <w:fldChar w:fldCharType="separate"/>
    </w:r>
    <w:r w:rsidR="0019475D">
      <w:rPr>
        <w:rFonts w:ascii="Times New Roman" w:hAnsi="Times New Roman"/>
        <w:noProof/>
        <w:sz w:val="28"/>
        <w:szCs w:val="28"/>
      </w:rPr>
      <w:t>2</w:t>
    </w:r>
    <w:r w:rsidRPr="00091F06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              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B8B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FAB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B4A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0E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E2E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147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C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88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2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70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43C0"/>
    <w:multiLevelType w:val="hybridMultilevel"/>
    <w:tmpl w:val="E26499A4"/>
    <w:lvl w:ilvl="0" w:tplc="91EECC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D0B91"/>
    <w:multiLevelType w:val="hybridMultilevel"/>
    <w:tmpl w:val="D4A65F1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6581363"/>
    <w:multiLevelType w:val="multilevel"/>
    <w:tmpl w:val="F68013DC"/>
    <w:lvl w:ilvl="0">
      <w:numFmt w:val="bullet"/>
      <w:lvlText w:val=""/>
      <w:lvlJc w:val="left"/>
      <w:pPr>
        <w:ind w:left="753" w:hanging="360"/>
      </w:pPr>
      <w:rPr>
        <w:rFonts w:ascii="Symbol" w:hAnsi="Symbol"/>
        <w:color w:val="002060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13">
    <w:nsid w:val="07E75918"/>
    <w:multiLevelType w:val="hybridMultilevel"/>
    <w:tmpl w:val="C3AEA116"/>
    <w:lvl w:ilvl="0" w:tplc="3114519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6EE6BB7"/>
    <w:multiLevelType w:val="hybridMultilevel"/>
    <w:tmpl w:val="17A8F6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7278E"/>
    <w:multiLevelType w:val="hybridMultilevel"/>
    <w:tmpl w:val="4A3EAC24"/>
    <w:lvl w:ilvl="0" w:tplc="5FFCDB52">
      <w:start w:val="1"/>
      <w:numFmt w:val="upperRoman"/>
      <w:lvlText w:val="%1."/>
      <w:lvlJc w:val="left"/>
      <w:pPr>
        <w:ind w:left="30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812D93"/>
    <w:multiLevelType w:val="hybridMultilevel"/>
    <w:tmpl w:val="4B0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F3AD3"/>
    <w:multiLevelType w:val="hybridMultilevel"/>
    <w:tmpl w:val="DDEEADB4"/>
    <w:lvl w:ilvl="0" w:tplc="65A01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3102A"/>
    <w:multiLevelType w:val="multilevel"/>
    <w:tmpl w:val="A13AD4E0"/>
    <w:lvl w:ilvl="0">
      <w:numFmt w:val="bullet"/>
      <w:lvlText w:val=""/>
      <w:lvlJc w:val="left"/>
      <w:pPr>
        <w:ind w:left="753" w:hanging="360"/>
      </w:pPr>
      <w:rPr>
        <w:rFonts w:ascii="Symbol" w:hAnsi="Symbol"/>
        <w:color w:val="002060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19">
    <w:nsid w:val="2068654F"/>
    <w:multiLevelType w:val="hybridMultilevel"/>
    <w:tmpl w:val="9558B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40CF"/>
    <w:multiLevelType w:val="hybridMultilevel"/>
    <w:tmpl w:val="27EA9CDA"/>
    <w:lvl w:ilvl="0" w:tplc="CE54E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D184F"/>
    <w:multiLevelType w:val="hybridMultilevel"/>
    <w:tmpl w:val="7B62E01A"/>
    <w:lvl w:ilvl="0" w:tplc="CE54EDC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D3F6CC6"/>
    <w:multiLevelType w:val="hybridMultilevel"/>
    <w:tmpl w:val="CF0A4C26"/>
    <w:lvl w:ilvl="0" w:tplc="6172A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468AC"/>
    <w:multiLevelType w:val="hybridMultilevel"/>
    <w:tmpl w:val="A3349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24B04"/>
    <w:multiLevelType w:val="hybridMultilevel"/>
    <w:tmpl w:val="2B4207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C297D"/>
    <w:multiLevelType w:val="hybridMultilevel"/>
    <w:tmpl w:val="CF966B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3595D"/>
    <w:multiLevelType w:val="hybridMultilevel"/>
    <w:tmpl w:val="0420A7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5082"/>
    <w:multiLevelType w:val="hybridMultilevel"/>
    <w:tmpl w:val="B32E9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5357B"/>
    <w:multiLevelType w:val="hybridMultilevel"/>
    <w:tmpl w:val="BFB067AA"/>
    <w:lvl w:ilvl="0" w:tplc="91EECCB6">
      <w:start w:val="3"/>
      <w:numFmt w:val="bullet"/>
      <w:lvlText w:val=""/>
      <w:lvlJc w:val="left"/>
      <w:pPr>
        <w:ind w:left="436" w:hanging="360"/>
      </w:pPr>
      <w:rPr>
        <w:rFonts w:ascii="Symbol" w:eastAsia="Times New Roman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C720322"/>
    <w:multiLevelType w:val="multilevel"/>
    <w:tmpl w:val="D9EA6E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206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EDB5CF8"/>
    <w:multiLevelType w:val="hybridMultilevel"/>
    <w:tmpl w:val="2A14A680"/>
    <w:lvl w:ilvl="0" w:tplc="1EECBCA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6"/>
  </w:num>
  <w:num w:numId="5">
    <w:abstractNumId w:val="30"/>
  </w:num>
  <w:num w:numId="6">
    <w:abstractNumId w:val="13"/>
  </w:num>
  <w:num w:numId="7">
    <w:abstractNumId w:val="19"/>
  </w:num>
  <w:num w:numId="8">
    <w:abstractNumId w:val="17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14"/>
  </w:num>
  <w:num w:numId="14">
    <w:abstractNumId w:val="26"/>
  </w:num>
  <w:num w:numId="15">
    <w:abstractNumId w:val="11"/>
  </w:num>
  <w:num w:numId="16">
    <w:abstractNumId w:val="29"/>
  </w:num>
  <w:num w:numId="17">
    <w:abstractNumId w:val="18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5D"/>
    <w:rsid w:val="000B1C35"/>
    <w:rsid w:val="001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5D"/>
    <w:rPr>
      <w:rFonts w:ascii="Calibri" w:eastAsia="Times New Roman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4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47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47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75D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9475D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475D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19475D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1">
    <w:name w:val="Заголовок оглавления1"/>
    <w:basedOn w:val="Heading1"/>
    <w:next w:val="Normal"/>
    <w:uiPriority w:val="39"/>
    <w:qFormat/>
    <w:rsid w:val="0019475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9475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75D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9475D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75D"/>
    <w:rPr>
      <w:rFonts w:ascii="Calibri" w:eastAsia="Times New Roman" w:hAnsi="Calibri" w:cs="Times New Roman"/>
      <w:sz w:val="20"/>
      <w:szCs w:val="20"/>
      <w:lang w:val="ru-RU" w:eastAsia="en-GB"/>
    </w:rPr>
  </w:style>
  <w:style w:type="character" w:styleId="FootnoteReference">
    <w:name w:val="footnote reference"/>
    <w:basedOn w:val="DefaultParagraphFont"/>
    <w:uiPriority w:val="99"/>
    <w:unhideWhenUsed/>
    <w:rsid w:val="00194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75D"/>
    <w:rPr>
      <w:color w:val="0000FF"/>
      <w:u w:val="single"/>
    </w:rPr>
  </w:style>
  <w:style w:type="paragraph" w:customStyle="1" w:styleId="10">
    <w:name w:val="Абзац списка1"/>
    <w:basedOn w:val="Normal"/>
    <w:uiPriority w:val="34"/>
    <w:qFormat/>
    <w:rsid w:val="00194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5D"/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47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5D"/>
    <w:rPr>
      <w:rFonts w:ascii="Calibri" w:eastAsia="Times New Roman" w:hAnsi="Calibri" w:cs="Times New Roman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19475D"/>
    <w:pPr>
      <w:tabs>
        <w:tab w:val="left" w:pos="180"/>
        <w:tab w:val="right" w:leader="dot" w:pos="9770"/>
      </w:tabs>
      <w:ind w:left="220" w:hanging="360"/>
    </w:pPr>
    <w:rPr>
      <w:bCs/>
      <w:noProof/>
      <w:color w:val="003366"/>
      <w:kern w:val="32"/>
      <w:lang w:val="ro-RO"/>
    </w:rPr>
  </w:style>
  <w:style w:type="paragraph" w:customStyle="1" w:styleId="11">
    <w:name w:val="Без интервала1"/>
    <w:uiPriority w:val="1"/>
    <w:qFormat/>
    <w:rsid w:val="0019475D"/>
    <w:pPr>
      <w:spacing w:after="0" w:line="240" w:lineRule="auto"/>
      <w:jc w:val="both"/>
    </w:pPr>
    <w:rPr>
      <w:rFonts w:ascii="Calibri" w:eastAsia="Times New Roman" w:hAnsi="Calibri" w:cs="Times New Roman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5D"/>
    <w:rPr>
      <w:rFonts w:ascii="Calibri" w:eastAsia="Times New Roman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5D"/>
    <w:rPr>
      <w:rFonts w:ascii="Tahoma" w:eastAsia="Times New Roman" w:hAnsi="Tahoma" w:cs="Times New Roman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194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9475D"/>
    <w:rPr>
      <w:b/>
    </w:rPr>
  </w:style>
  <w:style w:type="character" w:styleId="Emphasis">
    <w:name w:val="Emphasis"/>
    <w:basedOn w:val="DefaultParagraphFont"/>
    <w:uiPriority w:val="20"/>
    <w:qFormat/>
    <w:rsid w:val="0019475D"/>
    <w:rPr>
      <w:i/>
    </w:rPr>
  </w:style>
  <w:style w:type="table" w:styleId="TableGrid">
    <w:name w:val="Table Grid"/>
    <w:basedOn w:val="TableNormal"/>
    <w:uiPriority w:val="39"/>
    <w:rsid w:val="00194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9475D"/>
    <w:pPr>
      <w:ind w:left="220"/>
    </w:pPr>
  </w:style>
  <w:style w:type="paragraph" w:customStyle="1" w:styleId="ListParagraph1">
    <w:name w:val="List Paragraph1"/>
    <w:basedOn w:val="Normal"/>
    <w:uiPriority w:val="34"/>
    <w:qFormat/>
    <w:rsid w:val="0019475D"/>
    <w:pPr>
      <w:ind w:left="708"/>
    </w:pPr>
  </w:style>
  <w:style w:type="character" w:customStyle="1" w:styleId="apple-converted-space">
    <w:name w:val="apple-converted-space"/>
    <w:rsid w:val="0019475D"/>
  </w:style>
  <w:style w:type="character" w:customStyle="1" w:styleId="docheader">
    <w:name w:val="doc_header"/>
    <w:basedOn w:val="DefaultParagraphFont"/>
    <w:rsid w:val="0019475D"/>
    <w:rPr>
      <w:rFonts w:cs="Times New Roman"/>
    </w:rPr>
  </w:style>
  <w:style w:type="character" w:customStyle="1" w:styleId="docred">
    <w:name w:val="doc_red"/>
    <w:basedOn w:val="DefaultParagraphFont"/>
    <w:rsid w:val="0019475D"/>
    <w:rPr>
      <w:rFonts w:cs="Times New Roman"/>
    </w:rPr>
  </w:style>
  <w:style w:type="character" w:customStyle="1" w:styleId="docblue">
    <w:name w:val="doc_blue"/>
    <w:basedOn w:val="DefaultParagraphFont"/>
    <w:rsid w:val="0019475D"/>
    <w:rPr>
      <w:rFonts w:cs="Times New Roman"/>
    </w:rPr>
  </w:style>
  <w:style w:type="character" w:customStyle="1" w:styleId="docsign1">
    <w:name w:val="doc_sign1"/>
    <w:basedOn w:val="DefaultParagraphFont"/>
    <w:rsid w:val="0019475D"/>
    <w:rPr>
      <w:rFonts w:cs="Times New Roman"/>
    </w:rPr>
  </w:style>
  <w:style w:type="character" w:customStyle="1" w:styleId="24">
    <w:name w:val="Основной текст (2)4"/>
    <w:rsid w:val="0019475D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23">
    <w:name w:val="Основной текст (2)3"/>
    <w:rsid w:val="0019475D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21">
    <w:name w:val="Основной текст (2)1"/>
    <w:basedOn w:val="Normal"/>
    <w:rsid w:val="0019475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lang w:val="ro-RO" w:eastAsia="ru-RU"/>
    </w:rPr>
  </w:style>
  <w:style w:type="character" w:customStyle="1" w:styleId="Mention">
    <w:name w:val="Mention"/>
    <w:uiPriority w:val="99"/>
    <w:semiHidden/>
    <w:unhideWhenUsed/>
    <w:rsid w:val="0019475D"/>
    <w:rPr>
      <w:color w:val="2B579A"/>
      <w:shd w:val="clear" w:color="auto" w:fill="E6E6E6"/>
    </w:rPr>
  </w:style>
  <w:style w:type="character" w:customStyle="1" w:styleId="CommentTextChar1">
    <w:name w:val="Comment Text Char1"/>
    <w:semiHidden/>
    <w:locked/>
    <w:rsid w:val="0019475D"/>
    <w:rPr>
      <w:rFonts w:ascii="Calibri" w:eastAsia="Times New Roman" w:hAnsi="Calibri"/>
      <w:sz w:val="20"/>
      <w:lang w:val="ru-RU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7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75D"/>
    <w:rPr>
      <w:rFonts w:ascii="Calibri" w:eastAsia="Times New Roman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1947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5D"/>
    <w:rPr>
      <w:rFonts w:ascii="Calibri" w:eastAsia="Times New Roman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4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47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47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75D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9475D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475D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19475D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1">
    <w:name w:val="Заголовок оглавления1"/>
    <w:basedOn w:val="Heading1"/>
    <w:next w:val="Normal"/>
    <w:uiPriority w:val="39"/>
    <w:qFormat/>
    <w:rsid w:val="0019475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9475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75D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9475D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75D"/>
    <w:rPr>
      <w:rFonts w:ascii="Calibri" w:eastAsia="Times New Roman" w:hAnsi="Calibri" w:cs="Times New Roman"/>
      <w:sz w:val="20"/>
      <w:szCs w:val="20"/>
      <w:lang w:val="ru-RU" w:eastAsia="en-GB"/>
    </w:rPr>
  </w:style>
  <w:style w:type="character" w:styleId="FootnoteReference">
    <w:name w:val="footnote reference"/>
    <w:basedOn w:val="DefaultParagraphFont"/>
    <w:uiPriority w:val="99"/>
    <w:unhideWhenUsed/>
    <w:rsid w:val="00194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75D"/>
    <w:rPr>
      <w:color w:val="0000FF"/>
      <w:u w:val="single"/>
    </w:rPr>
  </w:style>
  <w:style w:type="paragraph" w:customStyle="1" w:styleId="10">
    <w:name w:val="Абзац списка1"/>
    <w:basedOn w:val="Normal"/>
    <w:uiPriority w:val="34"/>
    <w:qFormat/>
    <w:rsid w:val="00194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5D"/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47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5D"/>
    <w:rPr>
      <w:rFonts w:ascii="Calibri" w:eastAsia="Times New Roman" w:hAnsi="Calibri" w:cs="Times New Roman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19475D"/>
    <w:pPr>
      <w:tabs>
        <w:tab w:val="left" w:pos="180"/>
        <w:tab w:val="right" w:leader="dot" w:pos="9770"/>
      </w:tabs>
      <w:ind w:left="220" w:hanging="360"/>
    </w:pPr>
    <w:rPr>
      <w:bCs/>
      <w:noProof/>
      <w:color w:val="003366"/>
      <w:kern w:val="32"/>
      <w:lang w:val="ro-RO"/>
    </w:rPr>
  </w:style>
  <w:style w:type="paragraph" w:customStyle="1" w:styleId="11">
    <w:name w:val="Без интервала1"/>
    <w:uiPriority w:val="1"/>
    <w:qFormat/>
    <w:rsid w:val="0019475D"/>
    <w:pPr>
      <w:spacing w:after="0" w:line="240" w:lineRule="auto"/>
      <w:jc w:val="both"/>
    </w:pPr>
    <w:rPr>
      <w:rFonts w:ascii="Calibri" w:eastAsia="Times New Roman" w:hAnsi="Calibri" w:cs="Times New Roman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5D"/>
    <w:rPr>
      <w:rFonts w:ascii="Calibri" w:eastAsia="Times New Roman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5D"/>
    <w:rPr>
      <w:rFonts w:ascii="Tahoma" w:eastAsia="Times New Roman" w:hAnsi="Tahoma" w:cs="Times New Roman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194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9475D"/>
    <w:rPr>
      <w:b/>
    </w:rPr>
  </w:style>
  <w:style w:type="character" w:styleId="Emphasis">
    <w:name w:val="Emphasis"/>
    <w:basedOn w:val="DefaultParagraphFont"/>
    <w:uiPriority w:val="20"/>
    <w:qFormat/>
    <w:rsid w:val="0019475D"/>
    <w:rPr>
      <w:i/>
    </w:rPr>
  </w:style>
  <w:style w:type="table" w:styleId="TableGrid">
    <w:name w:val="Table Grid"/>
    <w:basedOn w:val="TableNormal"/>
    <w:uiPriority w:val="39"/>
    <w:rsid w:val="00194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9475D"/>
    <w:pPr>
      <w:ind w:left="220"/>
    </w:pPr>
  </w:style>
  <w:style w:type="paragraph" w:customStyle="1" w:styleId="ListParagraph1">
    <w:name w:val="List Paragraph1"/>
    <w:basedOn w:val="Normal"/>
    <w:uiPriority w:val="34"/>
    <w:qFormat/>
    <w:rsid w:val="0019475D"/>
    <w:pPr>
      <w:ind w:left="708"/>
    </w:pPr>
  </w:style>
  <w:style w:type="character" w:customStyle="1" w:styleId="apple-converted-space">
    <w:name w:val="apple-converted-space"/>
    <w:rsid w:val="0019475D"/>
  </w:style>
  <w:style w:type="character" w:customStyle="1" w:styleId="docheader">
    <w:name w:val="doc_header"/>
    <w:basedOn w:val="DefaultParagraphFont"/>
    <w:rsid w:val="0019475D"/>
    <w:rPr>
      <w:rFonts w:cs="Times New Roman"/>
    </w:rPr>
  </w:style>
  <w:style w:type="character" w:customStyle="1" w:styleId="docred">
    <w:name w:val="doc_red"/>
    <w:basedOn w:val="DefaultParagraphFont"/>
    <w:rsid w:val="0019475D"/>
    <w:rPr>
      <w:rFonts w:cs="Times New Roman"/>
    </w:rPr>
  </w:style>
  <w:style w:type="character" w:customStyle="1" w:styleId="docblue">
    <w:name w:val="doc_blue"/>
    <w:basedOn w:val="DefaultParagraphFont"/>
    <w:rsid w:val="0019475D"/>
    <w:rPr>
      <w:rFonts w:cs="Times New Roman"/>
    </w:rPr>
  </w:style>
  <w:style w:type="character" w:customStyle="1" w:styleId="docsign1">
    <w:name w:val="doc_sign1"/>
    <w:basedOn w:val="DefaultParagraphFont"/>
    <w:rsid w:val="0019475D"/>
    <w:rPr>
      <w:rFonts w:cs="Times New Roman"/>
    </w:rPr>
  </w:style>
  <w:style w:type="character" w:customStyle="1" w:styleId="24">
    <w:name w:val="Основной текст (2)4"/>
    <w:rsid w:val="0019475D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23">
    <w:name w:val="Основной текст (2)3"/>
    <w:rsid w:val="0019475D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21">
    <w:name w:val="Основной текст (2)1"/>
    <w:basedOn w:val="Normal"/>
    <w:rsid w:val="0019475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lang w:val="ro-RO" w:eastAsia="ru-RU"/>
    </w:rPr>
  </w:style>
  <w:style w:type="character" w:customStyle="1" w:styleId="Mention">
    <w:name w:val="Mention"/>
    <w:uiPriority w:val="99"/>
    <w:semiHidden/>
    <w:unhideWhenUsed/>
    <w:rsid w:val="0019475D"/>
    <w:rPr>
      <w:color w:val="2B579A"/>
      <w:shd w:val="clear" w:color="auto" w:fill="E6E6E6"/>
    </w:rPr>
  </w:style>
  <w:style w:type="character" w:customStyle="1" w:styleId="CommentTextChar1">
    <w:name w:val="Comment Text Char1"/>
    <w:semiHidden/>
    <w:locked/>
    <w:rsid w:val="0019475D"/>
    <w:rPr>
      <w:rFonts w:ascii="Calibri" w:eastAsia="Times New Roman" w:hAnsi="Calibri"/>
      <w:sz w:val="20"/>
      <w:lang w:val="ru-RU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7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75D"/>
    <w:rPr>
      <w:rFonts w:ascii="Calibri" w:eastAsia="Times New Roman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1947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.org/sites/default/files/iri_moldova_poll_march_2017.pdf" TargetMode="External"/><Relationship Id="rId13" Type="http://schemas.openxmlformats.org/officeDocument/2006/relationships/hyperlink" Target="http://procuratura.md/file/Greco%20RC-III%20(2015)%20md%20Moldova%20addendum%202e%20RC%20public.pdf" TargetMode="External"/><Relationship Id="rId18" Type="http://schemas.openxmlformats.org/officeDocument/2006/relationships/hyperlink" Target="http://www.state.gov/documents/organization/253089.pdf" TargetMode="External"/><Relationship Id="rId3" Type="http://schemas.openxmlformats.org/officeDocument/2006/relationships/hyperlink" Target="http://transparency.md/ro/cefacem/publicatii/141-sni-2014" TargetMode="External"/><Relationship Id="rId7" Type="http://schemas.openxmlformats.org/officeDocument/2006/relationships/hyperlink" Target="http://ipp.md/public/files/Barometru/BOP_10.2016_anexe.pdf" TargetMode="External"/><Relationship Id="rId12" Type="http://schemas.openxmlformats.org/officeDocument/2006/relationships/hyperlink" Target="http://www.iri.org/sites/default/files/iri_moldova_poll_march_2017.pdf" TargetMode="External"/><Relationship Id="rId17" Type="http://schemas.openxmlformats.org/officeDocument/2006/relationships/hyperlink" Target="http://www.expert-grup.org/ro/biblioteca/sectorul-public/item/1332-despre-cum-se-pierd-banii-publici&amp;category=180" TargetMode="External"/><Relationship Id="rId2" Type="http://schemas.openxmlformats.org/officeDocument/2006/relationships/hyperlink" Target="http://cna.md/sites/default/files/sna_rapoarte/evaluarea_preliminara_sna_2011-2015_03.2016_0.doc" TargetMode="External"/><Relationship Id="rId16" Type="http://schemas.openxmlformats.org/officeDocument/2006/relationships/hyperlink" Target="http://www.expert-grup.org/ro/biblioteca/item/1182-studiu-monitorizare-cc-2014&amp;category=180" TargetMode="External"/><Relationship Id="rId1" Type="http://schemas.openxmlformats.org/officeDocument/2006/relationships/hyperlink" Target="http://www.gov.md/sites/default/files/foaie_de_parcurs_privind_agenda_de_reforme_prioritare_.pdf" TargetMode="External"/><Relationship Id="rId6" Type="http://schemas.openxmlformats.org/officeDocument/2006/relationships/hyperlink" Target="http://www.iri.org/sites/default/files/iri_moldova_poll_march_2017.pdf" TargetMode="External"/><Relationship Id="rId11" Type="http://schemas.openxmlformats.org/officeDocument/2006/relationships/hyperlink" Target="http://capc.md/ro/publications/" TargetMode="External"/><Relationship Id="rId5" Type="http://schemas.openxmlformats.org/officeDocument/2006/relationships/hyperlink" Target="https://rm.coe.int/CoERMPublicCommonSearchServices/DisplayDCTMContent?documentId=09000016806c9b1a" TargetMode="External"/><Relationship Id="rId15" Type="http://schemas.openxmlformats.org/officeDocument/2006/relationships/hyperlink" Target="http://www.ccrm.md/doc.php?l=ro&amp;idc=196&amp;id=5854&amp;t=/Cadrul-legal/Regulamente/Regulamentul-privind-procedurile-aplicate-in-cadrul-Curtii-de-Conturi-in-cazul-identificariideterminarii-de-catre-auditori-a-riscului-de-fraudacoruptie" TargetMode="External"/><Relationship Id="rId10" Type="http://schemas.openxmlformats.org/officeDocument/2006/relationships/hyperlink" Target="http://constcourt.md/ccdocview.php?l=ro&amp;tip=hotariri&amp;docid=533" TargetMode="External"/><Relationship Id="rId4" Type="http://schemas.openxmlformats.org/officeDocument/2006/relationships/hyperlink" Target="http://www.iri.org/sites/default/files/iri_moldova_poll_march_2017.pdf" TargetMode="External"/><Relationship Id="rId9" Type="http://schemas.openxmlformats.org/officeDocument/2006/relationships/hyperlink" Target="http://www.cna.md" TargetMode="External"/><Relationship Id="rId14" Type="http://schemas.openxmlformats.org/officeDocument/2006/relationships/hyperlink" Target="http://cna.md/sites/default/files/sna_rapoarte/evaluarea_preliminara_sna_2011-2015_03.2016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11280</Words>
  <Characters>64302</Characters>
  <Application>Microsoft Office Word</Application>
  <DocSecurity>0</DocSecurity>
  <Lines>535</Lines>
  <Paragraphs>150</Paragraphs>
  <ScaleCrop>false</ScaleCrop>
  <Company/>
  <LinksUpToDate>false</LinksUpToDate>
  <CharactersWithSpaces>75432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2017-07-04T07:43:00Z</dcterms:created>
  <dcterms:modified xsi:type="dcterms:W3CDTF">2017-07-04T07:43:00Z</dcterms:modified>
</cp:coreProperties>
</file>